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72652">
      <w:pPr>
        <w:spacing w:line="420" w:lineRule="exact"/>
        <w:jc w:val="center"/>
        <w:rPr>
          <w:rFonts w:hint="eastAsia" w:ascii="Times New Roman" w:hAnsi="Times New Roman" w:eastAsia="仿宋" w:cs="Times New Roman"/>
          <w:b w:val="0"/>
          <w:bCs w:val="0"/>
          <w:color w:val="auto"/>
          <w:sz w:val="32"/>
          <w:szCs w:val="32"/>
          <w:highlight w:val="none"/>
        </w:rPr>
      </w:pPr>
    </w:p>
    <w:p w14:paraId="6E2243C3">
      <w:pPr>
        <w:widowControl/>
        <w:spacing w:line="500" w:lineRule="exact"/>
        <w:jc w:val="right"/>
        <w:outlineLvl w:val="0"/>
        <w:rPr>
          <w:rFonts w:hint="eastAsia" w:ascii="Times New Roman" w:hAnsi="Times New Roman" w:eastAsia="黑体" w:cs="黑体"/>
          <w:b w:val="0"/>
          <w:bCs w:val="0"/>
          <w:color w:val="auto"/>
          <w:sz w:val="30"/>
          <w:szCs w:val="30"/>
          <w:highlight w:val="none"/>
        </w:rPr>
      </w:pPr>
      <w:r>
        <w:rPr>
          <w:rFonts w:hint="eastAsia" w:ascii="Times New Roman" w:hAnsi="Times New Roman" w:eastAsia="黑体" w:cs="黑体"/>
          <w:b w:val="0"/>
          <w:bCs w:val="0"/>
          <w:color w:val="auto"/>
          <w:sz w:val="30"/>
          <w:szCs w:val="30"/>
          <w:highlight w:val="none"/>
        </w:rPr>
        <w:t xml:space="preserve"> </w:t>
      </w:r>
    </w:p>
    <w:p w14:paraId="54F1056D">
      <w:pPr>
        <w:pStyle w:val="13"/>
        <w:rPr>
          <w:rFonts w:hint="eastAsia" w:ascii="Times New Roman" w:hAnsi="Times New Roman" w:eastAsia="仿宋" w:cs="Times New Roman"/>
          <w:b w:val="0"/>
          <w:bCs w:val="0"/>
          <w:color w:val="auto"/>
          <w:sz w:val="32"/>
          <w:szCs w:val="32"/>
          <w:highlight w:val="none"/>
        </w:rPr>
      </w:pPr>
    </w:p>
    <w:p w14:paraId="6AD3CE22">
      <w:pPr>
        <w:pStyle w:val="13"/>
        <w:rPr>
          <w:rFonts w:hint="eastAsia" w:ascii="Times New Roman" w:hAnsi="Times New Roman" w:eastAsia="仿宋" w:cs="Times New Roman"/>
          <w:b w:val="0"/>
          <w:bCs w:val="0"/>
          <w:color w:val="auto"/>
          <w:sz w:val="32"/>
          <w:szCs w:val="32"/>
          <w:highlight w:val="none"/>
        </w:rPr>
      </w:pPr>
    </w:p>
    <w:p w14:paraId="37F0398D">
      <w:pPr>
        <w:pStyle w:val="13"/>
        <w:rPr>
          <w:rFonts w:hint="eastAsia" w:ascii="Times New Roman" w:hAnsi="Times New Roman" w:eastAsia="仿宋" w:cs="Times New Roman"/>
          <w:b w:val="0"/>
          <w:bCs w:val="0"/>
          <w:color w:val="auto"/>
          <w:sz w:val="32"/>
          <w:szCs w:val="32"/>
          <w:highlight w:val="none"/>
        </w:rPr>
      </w:pPr>
    </w:p>
    <w:p w14:paraId="7B9F95BE">
      <w:pPr>
        <w:pStyle w:val="13"/>
        <w:rPr>
          <w:rFonts w:hint="eastAsia" w:ascii="Times New Roman" w:hAnsi="Times New Roman" w:eastAsia="仿宋" w:cs="Times New Roman"/>
          <w:b w:val="0"/>
          <w:bCs w:val="0"/>
          <w:color w:val="auto"/>
          <w:sz w:val="32"/>
          <w:szCs w:val="32"/>
          <w:highlight w:val="none"/>
        </w:rPr>
      </w:pPr>
    </w:p>
    <w:p w14:paraId="75128849">
      <w:pPr>
        <w:pStyle w:val="13"/>
        <w:rPr>
          <w:rFonts w:hint="eastAsia" w:ascii="Times New Roman" w:hAnsi="Times New Roman" w:eastAsia="仿宋" w:cs="Times New Roman"/>
          <w:b w:val="0"/>
          <w:bCs w:val="0"/>
          <w:color w:val="auto"/>
          <w:sz w:val="32"/>
          <w:szCs w:val="32"/>
          <w:highlight w:val="none"/>
        </w:rPr>
      </w:pPr>
    </w:p>
    <w:p w14:paraId="480979C2">
      <w:pPr>
        <w:pStyle w:val="13"/>
        <w:rPr>
          <w:rFonts w:hint="eastAsia" w:ascii="Times New Roman" w:hAnsi="Times New Roman" w:eastAsia="仿宋" w:cs="Times New Roman"/>
          <w:b w:val="0"/>
          <w:bCs w:val="0"/>
          <w:color w:val="auto"/>
          <w:sz w:val="32"/>
          <w:szCs w:val="32"/>
          <w:highlight w:val="none"/>
        </w:rPr>
      </w:pPr>
    </w:p>
    <w:p w14:paraId="6D787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b w:val="0"/>
          <w:bCs w:val="0"/>
          <w:color w:val="auto"/>
          <w:sz w:val="60"/>
          <w:szCs w:val="60"/>
          <w:highlight w:val="none"/>
        </w:rPr>
      </w:pPr>
      <w:r>
        <w:rPr>
          <w:rFonts w:hint="eastAsia" w:ascii="Times New Roman" w:hAnsi="Times New Roman" w:eastAsia="黑体" w:cs="Times New Roman"/>
          <w:b w:val="0"/>
          <w:bCs w:val="0"/>
          <w:color w:val="auto"/>
          <w:sz w:val="60"/>
          <w:szCs w:val="60"/>
          <w:highlight w:val="none"/>
          <w:lang w:eastAsia="zh-CN"/>
        </w:rPr>
        <w:t>电力中长期</w:t>
      </w:r>
      <w:r>
        <w:rPr>
          <w:rFonts w:hint="eastAsia" w:ascii="Times New Roman" w:hAnsi="Times New Roman" w:eastAsia="黑体" w:cs="Times New Roman"/>
          <w:b w:val="0"/>
          <w:bCs w:val="0"/>
          <w:color w:val="auto"/>
          <w:sz w:val="60"/>
          <w:szCs w:val="60"/>
          <w:highlight w:val="none"/>
          <w:lang w:eastAsia="zh-CN"/>
        </w:rPr>
        <w:t>市场</w:t>
      </w:r>
      <w:r>
        <w:rPr>
          <w:rFonts w:hint="eastAsia" w:ascii="Times New Roman" w:hAnsi="Times New Roman" w:eastAsia="黑体" w:cs="Times New Roman"/>
          <w:b w:val="0"/>
          <w:bCs w:val="0"/>
          <w:color w:val="auto"/>
          <w:sz w:val="60"/>
          <w:szCs w:val="60"/>
          <w:highlight w:val="none"/>
        </w:rPr>
        <w:t>基本规则</w:t>
      </w:r>
    </w:p>
    <w:p w14:paraId="0C622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楷体_GBK" w:hAnsi="方正楷体_GBK" w:eastAsia="方正楷体_GBK" w:cs="方正楷体_GBK"/>
          <w:b w:val="0"/>
          <w:bCs w:val="0"/>
          <w:color w:val="auto"/>
          <w:sz w:val="44"/>
          <w:szCs w:val="44"/>
          <w:highlight w:val="none"/>
        </w:rPr>
      </w:pPr>
      <w:r>
        <w:rPr>
          <w:rFonts w:hint="eastAsia" w:ascii="方正楷体_GBK" w:hAnsi="方正楷体_GBK" w:eastAsia="方正楷体_GBK" w:cs="方正楷体_GBK"/>
          <w:b w:val="0"/>
          <w:bCs w:val="0"/>
          <w:color w:val="auto"/>
          <w:sz w:val="44"/>
          <w:szCs w:val="44"/>
          <w:highlight w:val="none"/>
        </w:rPr>
        <w:t>（</w:t>
      </w:r>
      <w:r>
        <w:rPr>
          <w:rFonts w:hint="eastAsia" w:ascii="方正楷体_GBK" w:hAnsi="方正楷体_GBK" w:eastAsia="方正楷体_GBK" w:cs="方正楷体_GBK"/>
          <w:b w:val="0"/>
          <w:bCs w:val="0"/>
          <w:color w:val="auto"/>
          <w:sz w:val="44"/>
          <w:szCs w:val="44"/>
          <w:highlight w:val="none"/>
          <w:lang w:eastAsia="zh-CN"/>
        </w:rPr>
        <w:t>征求意见</w:t>
      </w:r>
      <w:r>
        <w:rPr>
          <w:rFonts w:hint="eastAsia" w:ascii="方正楷体_GBK" w:hAnsi="方正楷体_GBK" w:eastAsia="方正楷体_GBK" w:cs="方正楷体_GBK"/>
          <w:b w:val="0"/>
          <w:bCs w:val="0"/>
          <w:color w:val="auto"/>
          <w:sz w:val="44"/>
          <w:szCs w:val="44"/>
          <w:highlight w:val="none"/>
        </w:rPr>
        <w:t>稿）</w:t>
      </w:r>
    </w:p>
    <w:p w14:paraId="63A0EFE9">
      <w:pPr>
        <w:spacing w:line="420" w:lineRule="exact"/>
        <w:jc w:val="center"/>
        <w:rPr>
          <w:rFonts w:hint="eastAsia" w:ascii="Times New Roman" w:hAnsi="Times New Roman" w:eastAsia="仿宋" w:cs="Times New Roman"/>
          <w:b w:val="0"/>
          <w:bCs w:val="0"/>
          <w:color w:val="auto"/>
          <w:sz w:val="32"/>
          <w:szCs w:val="32"/>
          <w:highlight w:val="none"/>
        </w:rPr>
      </w:pPr>
    </w:p>
    <w:p w14:paraId="3E41E0DD">
      <w:pPr>
        <w:spacing w:line="420" w:lineRule="exact"/>
        <w:jc w:val="center"/>
        <w:rPr>
          <w:rFonts w:hint="eastAsia" w:ascii="Times New Roman" w:hAnsi="Times New Roman" w:eastAsia="仿宋" w:cs="Times New Roman"/>
          <w:b w:val="0"/>
          <w:bCs w:val="0"/>
          <w:color w:val="auto"/>
          <w:sz w:val="32"/>
          <w:szCs w:val="32"/>
          <w:highlight w:val="none"/>
        </w:rPr>
      </w:pPr>
    </w:p>
    <w:p w14:paraId="2862FC03">
      <w:pPr>
        <w:spacing w:line="420" w:lineRule="exact"/>
        <w:jc w:val="center"/>
        <w:rPr>
          <w:rFonts w:hint="eastAsia" w:ascii="Times New Roman" w:hAnsi="Times New Roman" w:eastAsia="仿宋" w:cs="Times New Roman"/>
          <w:b w:val="0"/>
          <w:bCs w:val="0"/>
          <w:color w:val="auto"/>
          <w:sz w:val="32"/>
          <w:szCs w:val="32"/>
          <w:highlight w:val="none"/>
        </w:rPr>
      </w:pPr>
    </w:p>
    <w:p w14:paraId="54FC6D63">
      <w:pPr>
        <w:spacing w:line="420" w:lineRule="exact"/>
        <w:jc w:val="center"/>
        <w:rPr>
          <w:rFonts w:hint="eastAsia" w:ascii="Times New Roman" w:hAnsi="Times New Roman" w:eastAsia="仿宋" w:cs="Times New Roman"/>
          <w:b w:val="0"/>
          <w:bCs w:val="0"/>
          <w:color w:val="auto"/>
          <w:sz w:val="32"/>
          <w:szCs w:val="32"/>
          <w:highlight w:val="none"/>
        </w:rPr>
      </w:pPr>
    </w:p>
    <w:p w14:paraId="3722EE97">
      <w:pPr>
        <w:spacing w:line="420" w:lineRule="exact"/>
        <w:jc w:val="center"/>
        <w:rPr>
          <w:rFonts w:hint="eastAsia" w:ascii="Times New Roman" w:hAnsi="Times New Roman" w:eastAsia="仿宋" w:cs="Times New Roman"/>
          <w:b w:val="0"/>
          <w:bCs w:val="0"/>
          <w:color w:val="auto"/>
          <w:sz w:val="32"/>
          <w:szCs w:val="32"/>
          <w:highlight w:val="none"/>
        </w:rPr>
      </w:pPr>
    </w:p>
    <w:p w14:paraId="1AEB5F00">
      <w:pPr>
        <w:spacing w:line="420" w:lineRule="exact"/>
        <w:jc w:val="center"/>
        <w:rPr>
          <w:rFonts w:hint="eastAsia" w:ascii="Times New Roman" w:hAnsi="Times New Roman" w:eastAsia="仿宋" w:cs="Times New Roman"/>
          <w:b w:val="0"/>
          <w:bCs w:val="0"/>
          <w:color w:val="auto"/>
          <w:sz w:val="32"/>
          <w:szCs w:val="32"/>
          <w:highlight w:val="none"/>
        </w:rPr>
      </w:pPr>
    </w:p>
    <w:p w14:paraId="29713865">
      <w:pPr>
        <w:spacing w:line="420" w:lineRule="exact"/>
        <w:jc w:val="center"/>
        <w:rPr>
          <w:rFonts w:hint="eastAsia" w:ascii="Times New Roman" w:hAnsi="Times New Roman" w:eastAsia="仿宋" w:cs="Times New Roman"/>
          <w:b w:val="0"/>
          <w:bCs w:val="0"/>
          <w:color w:val="auto"/>
          <w:sz w:val="32"/>
          <w:szCs w:val="32"/>
          <w:highlight w:val="none"/>
        </w:rPr>
      </w:pPr>
    </w:p>
    <w:p w14:paraId="434BE27A">
      <w:pPr>
        <w:spacing w:line="420" w:lineRule="exact"/>
        <w:jc w:val="center"/>
        <w:rPr>
          <w:rFonts w:hint="eastAsia" w:ascii="Times New Roman" w:hAnsi="Times New Roman" w:eastAsia="仿宋" w:cs="Times New Roman"/>
          <w:b w:val="0"/>
          <w:bCs w:val="0"/>
          <w:color w:val="auto"/>
          <w:sz w:val="32"/>
          <w:szCs w:val="32"/>
          <w:highlight w:val="none"/>
        </w:rPr>
      </w:pPr>
    </w:p>
    <w:p w14:paraId="7D227871">
      <w:pPr>
        <w:pStyle w:val="13"/>
        <w:rPr>
          <w:rFonts w:hint="eastAsia" w:ascii="Times New Roman" w:hAnsi="Times New Roman" w:cs="Times New Roman"/>
          <w:b w:val="0"/>
          <w:bCs w:val="0"/>
          <w:color w:val="auto"/>
        </w:rPr>
      </w:pPr>
    </w:p>
    <w:p w14:paraId="08C0C101">
      <w:pPr>
        <w:spacing w:line="420" w:lineRule="exact"/>
        <w:jc w:val="both"/>
        <w:rPr>
          <w:rFonts w:hint="eastAsia" w:ascii="Times New Roman" w:hAnsi="Times New Roman" w:eastAsia="仿宋" w:cs="Times New Roman"/>
          <w:b w:val="0"/>
          <w:bCs w:val="0"/>
          <w:color w:val="auto"/>
          <w:sz w:val="32"/>
          <w:szCs w:val="32"/>
          <w:highlight w:val="none"/>
        </w:rPr>
      </w:pPr>
    </w:p>
    <w:p w14:paraId="7FB90021">
      <w:pPr>
        <w:spacing w:line="420" w:lineRule="exact"/>
        <w:jc w:val="center"/>
        <w:rPr>
          <w:rFonts w:hint="eastAsia" w:ascii="Times New Roman" w:hAnsi="Times New Roman" w:eastAsia="仿宋" w:cs="Times New Roman"/>
          <w:b w:val="0"/>
          <w:bCs w:val="0"/>
          <w:color w:val="auto"/>
          <w:sz w:val="32"/>
          <w:szCs w:val="32"/>
          <w:highlight w:val="none"/>
        </w:rPr>
      </w:pPr>
    </w:p>
    <w:p w14:paraId="4EEBC126">
      <w:pPr>
        <w:spacing w:line="420" w:lineRule="exact"/>
        <w:jc w:val="center"/>
        <w:rPr>
          <w:rFonts w:hint="eastAsia" w:ascii="Times New Roman" w:hAnsi="Times New Roman" w:eastAsia="仿宋" w:cs="Times New Roman"/>
          <w:b w:val="0"/>
          <w:bCs w:val="0"/>
          <w:color w:val="auto"/>
          <w:sz w:val="32"/>
          <w:szCs w:val="32"/>
          <w:highlight w:val="none"/>
        </w:rPr>
      </w:pPr>
    </w:p>
    <w:p w14:paraId="5B6896D1">
      <w:pPr>
        <w:spacing w:line="420" w:lineRule="exact"/>
        <w:jc w:val="center"/>
        <w:rPr>
          <w:rFonts w:hint="eastAsia" w:ascii="Times New Roman" w:hAnsi="Times New Roman" w:eastAsia="仿宋" w:cs="Times New Roman"/>
          <w:b w:val="0"/>
          <w:bCs w:val="0"/>
          <w:color w:val="auto"/>
          <w:sz w:val="32"/>
          <w:szCs w:val="32"/>
          <w:highlight w:val="none"/>
        </w:rPr>
      </w:pPr>
    </w:p>
    <w:p w14:paraId="4A2A2939">
      <w:pPr>
        <w:rPr>
          <w:rFonts w:hint="eastAsia" w:ascii="Times New Roman" w:hAnsi="Times New Roman" w:eastAsia="仿宋" w:cs="Times New Roman"/>
          <w:b w:val="0"/>
          <w:bCs w:val="0"/>
          <w:color w:val="auto"/>
          <w:kern w:val="2"/>
          <w:sz w:val="32"/>
          <w:szCs w:val="32"/>
          <w:highlight w:val="none"/>
          <w:lang w:val="en-US" w:eastAsia="zh-CN" w:bidi="ar-SA"/>
        </w:rPr>
      </w:pPr>
      <w:r>
        <w:rPr>
          <w:rFonts w:hint="eastAsia" w:ascii="Times New Roman" w:hAnsi="Times New Roman" w:eastAsia="仿宋" w:cs="Times New Roman"/>
          <w:b w:val="0"/>
          <w:bCs w:val="0"/>
          <w:color w:val="auto"/>
          <w:kern w:val="2"/>
          <w:sz w:val="32"/>
          <w:szCs w:val="32"/>
          <w:highlight w:val="none"/>
          <w:lang w:val="en-US" w:eastAsia="zh-CN" w:bidi="ar-SA"/>
        </w:rPr>
        <w:br w:type="page"/>
      </w:r>
    </w:p>
    <w:sdt>
      <w:sdtPr>
        <w:rPr>
          <w:rFonts w:hint="eastAsia" w:ascii="Times New Roman" w:hAnsi="Times New Roman" w:eastAsia="仿宋_GB2312" w:cs="Times New Roman"/>
          <w:b w:val="0"/>
          <w:bCs w:val="0"/>
          <w:color w:val="auto"/>
          <w:kern w:val="2"/>
          <w:sz w:val="32"/>
          <w:szCs w:val="32"/>
          <w:highlight w:val="none"/>
          <w:lang w:val="en-US" w:eastAsia="zh-CN" w:bidi="ar-SA"/>
        </w:rPr>
        <w:id w:val="55618503"/>
        <w15:color w:val="DBDBDB"/>
        <w:docPartObj>
          <w:docPartGallery w:val="Table of Contents"/>
          <w:docPartUnique/>
        </w:docPartObj>
      </w:sdtPr>
      <w:sdtEndPr>
        <w:rPr>
          <w:rFonts w:hint="eastAsia" w:ascii="Times New Roman" w:hAnsi="Times New Roman" w:eastAsia="仿宋_GB2312" w:cs="Times New Roman"/>
          <w:b w:val="0"/>
          <w:bCs w:val="0"/>
          <w:color w:val="auto"/>
          <w:kern w:val="2"/>
          <w:sz w:val="32"/>
          <w:szCs w:val="32"/>
          <w:highlight w:val="none"/>
          <w:lang w:val="en-US" w:eastAsia="zh-CN" w:bidi="ar-SA"/>
        </w:rPr>
      </w:sdtEndPr>
      <w:sdtContent>
        <w:p w14:paraId="04027364">
          <w:pPr>
            <w:spacing w:before="0" w:beforeLines="0" w:after="0" w:afterLines="0" w:line="240" w:lineRule="auto"/>
            <w:ind w:left="0" w:leftChars="0" w:right="0" w:rightChars="0" w:firstLine="0" w:firstLineChars="0"/>
            <w:jc w:val="center"/>
            <w:rPr>
              <w:rFonts w:hint="eastAsia" w:ascii="Times New Roman" w:hAnsi="Times New Roman" w:eastAsia="仿宋_GB2312" w:cs="Times New Roman"/>
              <w:b w:val="0"/>
              <w:bCs w:val="0"/>
              <w:color w:val="auto"/>
              <w:kern w:val="2"/>
              <w:sz w:val="32"/>
              <w:szCs w:val="32"/>
              <w:highlight w:val="none"/>
              <w:lang w:val="en-US" w:eastAsia="zh-CN" w:bidi="ar-SA"/>
            </w:rPr>
          </w:pPr>
        </w:p>
        <w:p w14:paraId="6E8B1E95">
          <w:pPr>
            <w:spacing w:before="0" w:beforeLines="0" w:after="0" w:afterLines="0" w:line="240" w:lineRule="auto"/>
            <w:ind w:left="0" w:leftChars="0" w:right="0" w:rightChars="0" w:firstLine="0" w:firstLineChars="0"/>
            <w:jc w:val="center"/>
            <w:rPr>
              <w:rFonts w:hint="eastAsia" w:ascii="Times New Roman" w:hAnsi="Times New Roman" w:eastAsia="仿宋_GB2312" w:cs="Times New Roman"/>
              <w:b w:val="0"/>
              <w:bCs w:val="0"/>
              <w:color w:val="auto"/>
              <w:sz w:val="32"/>
              <w:szCs w:val="32"/>
              <w:highlight w:val="none"/>
            </w:rPr>
          </w:pPr>
          <w:r>
            <w:rPr>
              <w:rFonts w:hint="eastAsia" w:ascii="Times New Roman" w:hAnsi="Times New Roman" w:eastAsia="仿宋_GB2312" w:cs="Times New Roman"/>
              <w:b w:val="0"/>
              <w:bCs w:val="0"/>
              <w:color w:val="auto"/>
              <w:sz w:val="32"/>
              <w:szCs w:val="32"/>
              <w:highlight w:val="none"/>
            </w:rPr>
            <w:t>目</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eastAsia" w:ascii="Times New Roman" w:hAnsi="Times New Roman" w:eastAsia="仿宋_GB2312" w:cs="Times New Roman"/>
              <w:b w:val="0"/>
              <w:bCs w:val="0"/>
              <w:color w:val="auto"/>
              <w:sz w:val="32"/>
              <w:szCs w:val="32"/>
              <w:highlight w:val="none"/>
            </w:rPr>
            <w:t>录</w:t>
          </w:r>
        </w:p>
        <w:p w14:paraId="3A087820">
          <w:pPr>
            <w:pStyle w:val="11"/>
            <w:tabs>
              <w:tab w:val="right" w:leader="dot" w:pos="8306"/>
            </w:tabs>
            <w:rPr>
              <w:rFonts w:ascii="Times New Roman" w:hAnsi="Times New Roman"/>
            </w:rPr>
          </w:pPr>
          <w:r>
            <w:rPr>
              <w:rFonts w:hint="default" w:ascii="Times New Roman" w:hAnsi="Times New Roman" w:eastAsia="方正仿宋_GBK" w:cs="Times New Roman"/>
              <w:b w:val="0"/>
              <w:bCs w:val="0"/>
              <w:color w:val="auto"/>
              <w:kern w:val="2"/>
              <w:sz w:val="24"/>
              <w:szCs w:val="24"/>
              <w:highlight w:val="none"/>
              <w:lang w:val="en-US" w:eastAsia="zh-CN" w:bidi="ar-SA"/>
            </w:rPr>
            <w:fldChar w:fldCharType="begin"/>
          </w:r>
          <w:r>
            <w:rPr>
              <w:rFonts w:hint="default" w:ascii="Times New Roman" w:hAnsi="Times New Roman" w:eastAsia="方正仿宋_GBK" w:cs="Times New Roman"/>
              <w:b w:val="0"/>
              <w:bCs w:val="0"/>
              <w:color w:val="auto"/>
              <w:kern w:val="2"/>
              <w:sz w:val="24"/>
              <w:szCs w:val="24"/>
              <w:highlight w:val="none"/>
              <w:lang w:val="en-US" w:eastAsia="zh-CN" w:bidi="ar-SA"/>
            </w:rPr>
            <w:instrText xml:space="preserve">TOC \o "1-9" \h \u </w:instrText>
          </w:r>
          <w:r>
            <w:rPr>
              <w:rFonts w:hint="default" w:ascii="Times New Roman" w:hAnsi="Times New Roman" w:eastAsia="方正仿宋_GBK" w:cs="Times New Roman"/>
              <w:b w:val="0"/>
              <w:bCs w:val="0"/>
              <w:color w:val="auto"/>
              <w:kern w:val="2"/>
              <w:sz w:val="24"/>
              <w:szCs w:val="24"/>
              <w:highlight w:val="none"/>
              <w:lang w:val="en-US" w:eastAsia="zh-CN" w:bidi="ar-SA"/>
            </w:rPr>
            <w:fldChar w:fldCharType="separate"/>
          </w: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_Toc583927558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第一章 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_Toc583927558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0AC8C2F7">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_Toc498040153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 xml:space="preserve">第二章 </w:t>
          </w:r>
          <w:r>
            <w:rPr>
              <w:rFonts w:hint="eastAsia" w:ascii="Times New Roman" w:hAnsi="Times New Roman" w:eastAsia="黑体" w:cs="Times New Roman"/>
              <w:bCs w:val="0"/>
              <w:szCs w:val="32"/>
              <w:highlight w:val="none"/>
              <w:lang w:eastAsia="zh-CN"/>
            </w:rPr>
            <w:t>总体要求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_Toc498040153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10FB8EF5">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_Toc969982064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第三章 市场成员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_Toc969982064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32E1C08C">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_Toc2120705603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kern w:val="2"/>
              <w:szCs w:val="32"/>
              <w:highlight w:val="none"/>
            </w:rPr>
            <w:t xml:space="preserve">第一节 </w:t>
          </w:r>
          <w:r>
            <w:rPr>
              <w:rFonts w:hint="eastAsia" w:ascii="Times New Roman" w:hAnsi="Times New Roman" w:eastAsia="方正楷体_GBK" w:cs="Times New Roman"/>
              <w:bCs w:val="0"/>
              <w:kern w:val="2"/>
              <w:szCs w:val="32"/>
              <w:highlight w:val="none"/>
              <w:lang w:val="en-US" w:eastAsia="zh-CN"/>
            </w:rPr>
            <w:t>市场成员</w:t>
          </w:r>
          <w:r>
            <w:rPr>
              <w:rFonts w:hint="eastAsia" w:ascii="Times New Roman" w:hAnsi="Times New Roman" w:eastAsia="方正楷体_GBK" w:cs="Times New Roman"/>
              <w:bCs w:val="0"/>
              <w:kern w:val="2"/>
              <w:szCs w:val="32"/>
              <w:highlight w:val="none"/>
            </w:rPr>
            <w:t>权利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_Toc2120705603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4394DC86">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_Toc1282620685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kern w:val="2"/>
              <w:szCs w:val="32"/>
              <w:highlight w:val="none"/>
              <w:lang w:val="en-US" w:eastAsia="zh-CN"/>
            </w:rPr>
            <w:t>第二节 市场成员</w:t>
          </w:r>
          <w:r>
            <w:rPr>
              <w:rFonts w:hint="eastAsia" w:ascii="Times New Roman" w:hAnsi="Times New Roman" w:eastAsia="方正楷体_GBK" w:cs="Times New Roman"/>
              <w:bCs w:val="0"/>
              <w:kern w:val="2"/>
              <w:szCs w:val="32"/>
              <w:highlight w:val="none"/>
            </w:rPr>
            <w:t>义务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_Toc1282620685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51135BC">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_Toc1513948095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kern w:val="2"/>
              <w:szCs w:val="32"/>
              <w:highlight w:val="none"/>
            </w:rPr>
            <w:t>第</w:t>
          </w:r>
          <w:r>
            <w:rPr>
              <w:rFonts w:hint="eastAsia" w:ascii="Times New Roman" w:hAnsi="Times New Roman" w:eastAsia="方正楷体_GBK" w:cs="Times New Roman"/>
              <w:bCs w:val="0"/>
              <w:kern w:val="2"/>
              <w:szCs w:val="32"/>
              <w:highlight w:val="none"/>
              <w:lang w:val="en-US" w:eastAsia="zh-CN"/>
            </w:rPr>
            <w:t>三</w:t>
          </w:r>
          <w:r>
            <w:rPr>
              <w:rFonts w:hint="eastAsia" w:ascii="Times New Roman" w:hAnsi="Times New Roman" w:eastAsia="方正楷体_GBK" w:cs="Times New Roman"/>
              <w:bCs w:val="0"/>
              <w:kern w:val="2"/>
              <w:szCs w:val="32"/>
              <w:highlight w:val="none"/>
            </w:rPr>
            <w:t xml:space="preserve">节 </w:t>
          </w:r>
          <w:r>
            <w:rPr>
              <w:rFonts w:hint="eastAsia" w:ascii="Times New Roman" w:hAnsi="Times New Roman" w:eastAsia="方正楷体_GBK" w:cs="Times New Roman"/>
              <w:bCs w:val="0"/>
              <w:kern w:val="2"/>
              <w:szCs w:val="32"/>
              <w:highlight w:val="none"/>
              <w:lang w:eastAsia="zh-CN"/>
            </w:rPr>
            <w:t>经营主体</w:t>
          </w:r>
          <w:r>
            <w:rPr>
              <w:rFonts w:hint="eastAsia" w:ascii="Times New Roman" w:hAnsi="Times New Roman" w:eastAsia="方正楷体_GBK" w:cs="Times New Roman"/>
              <w:bCs w:val="0"/>
              <w:kern w:val="2"/>
              <w:szCs w:val="32"/>
              <w:highlight w:val="none"/>
            </w:rPr>
            <w:t>注册</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_Toc1513948095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C994DEC">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_Toc948521775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lang w:eastAsia="zh"/>
            </w:rPr>
            <w:t>第</w:t>
          </w:r>
          <w:r>
            <w:rPr>
              <w:rFonts w:hint="eastAsia" w:ascii="Times New Roman" w:hAnsi="Times New Roman" w:eastAsia="方正楷体_GBK" w:cs="Times New Roman"/>
              <w:bCs w:val="0"/>
              <w:szCs w:val="32"/>
              <w:highlight w:val="none"/>
              <w:lang w:eastAsia="zh-CN"/>
            </w:rPr>
            <w:t>四节</w:t>
          </w:r>
          <w:r>
            <w:rPr>
              <w:rFonts w:hint="eastAsia" w:ascii="Times New Roman" w:hAnsi="Times New Roman" w:eastAsia="方正楷体_GBK" w:cs="Times New Roman"/>
              <w:bCs w:val="0"/>
              <w:szCs w:val="32"/>
              <w:highlight w:val="none"/>
              <w:lang w:eastAsia="zh"/>
            </w:rPr>
            <w:t xml:space="preserve"> </w:t>
          </w:r>
          <w:r>
            <w:rPr>
              <w:rFonts w:hint="eastAsia" w:ascii="Times New Roman" w:hAnsi="Times New Roman" w:eastAsia="方正楷体_GBK" w:cs="Times New Roman"/>
              <w:bCs w:val="0"/>
              <w:szCs w:val="32"/>
              <w:highlight w:val="none"/>
              <w:lang w:val="en-US" w:eastAsia="zh-CN"/>
            </w:rPr>
            <w:t>新型经营主体</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_Toc948521775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63916B22">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_Toc1740331664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lang w:val="en-US" w:eastAsia="zh-CN"/>
            </w:rPr>
            <w:t xml:space="preserve">第四章 </w:t>
          </w:r>
          <w:r>
            <w:rPr>
              <w:rFonts w:hint="eastAsia" w:ascii="Times New Roman" w:hAnsi="Times New Roman" w:eastAsia="黑体" w:cs="Times New Roman"/>
              <w:bCs w:val="0"/>
              <w:szCs w:val="32"/>
              <w:highlight w:val="none"/>
              <w:lang w:val="en-US" w:eastAsia="zh-CN"/>
            </w:rPr>
            <w:t>交易品种和价格机制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_Toc1740331664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6DA07659">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_Toc266699218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lang w:val="en-US" w:eastAsia="zh"/>
            </w:rPr>
            <w:t>第</w:t>
          </w:r>
          <w:r>
            <w:rPr>
              <w:rFonts w:hint="eastAsia" w:ascii="Times New Roman" w:hAnsi="Times New Roman" w:eastAsia="方正楷体_GBK" w:cs="Times New Roman"/>
              <w:bCs w:val="0"/>
              <w:szCs w:val="32"/>
              <w:highlight w:val="none"/>
              <w:lang w:val="en-US" w:eastAsia="zh-CN"/>
            </w:rPr>
            <w:t>一节</w:t>
          </w:r>
          <w:r>
            <w:rPr>
              <w:rFonts w:hint="eastAsia" w:ascii="Times New Roman" w:hAnsi="Times New Roman" w:eastAsia="方正楷体_GBK" w:cs="Times New Roman"/>
              <w:bCs w:val="0"/>
              <w:szCs w:val="32"/>
              <w:highlight w:val="none"/>
              <w:lang w:eastAsia="zh"/>
            </w:rPr>
            <w:t xml:space="preserve"> </w:t>
          </w:r>
          <w:r>
            <w:rPr>
              <w:rFonts w:hint="eastAsia" w:ascii="Times New Roman" w:hAnsi="Times New Roman" w:eastAsia="方正楷体_GBK" w:cs="Times New Roman"/>
              <w:bCs w:val="0"/>
              <w:szCs w:val="32"/>
              <w:highlight w:val="none"/>
              <w:lang w:val="en-US" w:eastAsia="zh"/>
            </w:rPr>
            <w:t>交易品种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_Toc266699218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29AE80F8">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_Toc1905852318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lang w:eastAsia="zh"/>
            </w:rPr>
            <w:t>第</w:t>
          </w:r>
          <w:r>
            <w:rPr>
              <w:rFonts w:hint="eastAsia" w:ascii="Times New Roman" w:hAnsi="Times New Roman" w:eastAsia="方正楷体_GBK" w:cs="Times New Roman"/>
              <w:bCs w:val="0"/>
              <w:szCs w:val="32"/>
              <w:highlight w:val="none"/>
              <w:lang w:eastAsia="zh-CN"/>
            </w:rPr>
            <w:t>二节</w:t>
          </w:r>
          <w:r>
            <w:rPr>
              <w:rFonts w:hint="eastAsia" w:ascii="Times New Roman" w:hAnsi="Times New Roman" w:eastAsia="方正楷体_GBK" w:cs="Times New Roman"/>
              <w:bCs w:val="0"/>
              <w:szCs w:val="32"/>
              <w:highlight w:val="none"/>
              <w:lang w:eastAsia="zh"/>
            </w:rPr>
            <w:t xml:space="preserve"> 价格机制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_Toc1905852318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66CEDCAB">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_Toc555916380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w:t>
          </w:r>
          <w:r>
            <w:rPr>
              <w:rFonts w:hint="eastAsia" w:ascii="Times New Roman" w:hAnsi="Times New Roman" w:eastAsia="黑体" w:cs="Times New Roman"/>
              <w:bCs w:val="0"/>
              <w:szCs w:val="32"/>
              <w:highlight w:val="none"/>
              <w:lang w:val="en-US" w:eastAsia="zh-CN"/>
            </w:rPr>
            <w:t>五</w:t>
          </w:r>
          <w:r>
            <w:rPr>
              <w:rFonts w:hint="eastAsia" w:ascii="Times New Roman" w:hAnsi="Times New Roman" w:eastAsia="黑体" w:cs="Times New Roman"/>
              <w:bCs w:val="0"/>
              <w:szCs w:val="32"/>
              <w:highlight w:val="none"/>
              <w:lang w:eastAsia="zh"/>
            </w:rPr>
            <w:t xml:space="preserve">章 </w:t>
          </w:r>
          <w:r>
            <w:rPr>
              <w:rFonts w:hint="eastAsia" w:ascii="Times New Roman" w:hAnsi="Times New Roman" w:eastAsia="黑体" w:cs="Times New Roman"/>
              <w:bCs w:val="0"/>
              <w:szCs w:val="32"/>
              <w:highlight w:val="none"/>
              <w:lang w:val="en-US" w:eastAsia="zh"/>
            </w:rPr>
            <w:t>交易组织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_Toc555916380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45278C81">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_Toc1788791979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rPr>
            <w:t xml:space="preserve">第一节 </w:t>
          </w:r>
          <w:r>
            <w:rPr>
              <w:rFonts w:hint="eastAsia" w:ascii="Times New Roman" w:hAnsi="Times New Roman" w:eastAsia="方正楷体_GBK" w:cs="Times New Roman"/>
              <w:bCs w:val="0"/>
              <w:szCs w:val="32"/>
              <w:highlight w:val="none"/>
              <w:lang w:val="en-US" w:eastAsia="zh-CN"/>
            </w:rPr>
            <w:t>基本要求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_Toc1788791979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1616C4B3">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_Toc1222750299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rPr>
            <w:t>第</w:t>
          </w:r>
          <w:r>
            <w:rPr>
              <w:rFonts w:hint="eastAsia" w:ascii="Times New Roman" w:hAnsi="Times New Roman" w:eastAsia="方正楷体_GBK" w:cs="Times New Roman"/>
              <w:bCs w:val="0"/>
              <w:szCs w:val="32"/>
              <w:highlight w:val="none"/>
              <w:lang w:val="en-US" w:eastAsia="zh-CN"/>
            </w:rPr>
            <w:t>二</w:t>
          </w:r>
          <w:r>
            <w:rPr>
              <w:rFonts w:hint="eastAsia" w:ascii="Times New Roman" w:hAnsi="Times New Roman" w:eastAsia="方正楷体_GBK" w:cs="Times New Roman"/>
              <w:bCs w:val="0"/>
              <w:szCs w:val="32"/>
              <w:highlight w:val="none"/>
            </w:rPr>
            <w:t xml:space="preserve">节 </w:t>
          </w:r>
          <w:r>
            <w:rPr>
              <w:rFonts w:hint="eastAsia" w:ascii="Times New Roman" w:hAnsi="Times New Roman" w:eastAsia="方正楷体_GBK" w:cs="Times New Roman"/>
              <w:bCs w:val="0"/>
              <w:szCs w:val="32"/>
              <w:highlight w:val="none"/>
              <w:lang w:val="en-US" w:eastAsia="zh-CN"/>
            </w:rPr>
            <w:t>交易约束与出清</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_Toc1222750299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0B0FAC52">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_Toc481510801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lang w:val="en-US" w:eastAsia="zh-CN"/>
            </w:rPr>
            <w:t>第三节 绿色电力交易</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_Toc481510801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32D99F65">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_Toc194129840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w:t>
          </w:r>
          <w:r>
            <w:rPr>
              <w:rFonts w:hint="eastAsia" w:ascii="Times New Roman" w:hAnsi="Times New Roman" w:eastAsia="黑体" w:cs="Times New Roman"/>
              <w:bCs w:val="0"/>
              <w:szCs w:val="32"/>
              <w:highlight w:val="none"/>
              <w:lang w:val="en-US" w:eastAsia="zh-CN"/>
            </w:rPr>
            <w:t>六</w:t>
          </w:r>
          <w:r>
            <w:rPr>
              <w:rFonts w:hint="eastAsia" w:ascii="Times New Roman" w:hAnsi="Times New Roman" w:eastAsia="黑体" w:cs="Times New Roman"/>
              <w:bCs w:val="0"/>
              <w:szCs w:val="32"/>
              <w:highlight w:val="none"/>
              <w:lang w:val="en-US" w:eastAsia="zh"/>
            </w:rPr>
            <w:t>章</w:t>
          </w:r>
          <w:r>
            <w:rPr>
              <w:rFonts w:hint="eastAsia" w:ascii="Times New Roman" w:hAnsi="Times New Roman" w:eastAsia="黑体" w:cs="Times New Roman"/>
              <w:bCs w:val="0"/>
              <w:szCs w:val="32"/>
              <w:highlight w:val="none"/>
              <w:lang w:eastAsia="zh"/>
            </w:rPr>
            <w:t xml:space="preserve"> </w:t>
          </w:r>
          <w:r>
            <w:rPr>
              <w:rFonts w:hint="eastAsia" w:ascii="Times New Roman" w:hAnsi="Times New Roman" w:eastAsia="黑体" w:cs="Times New Roman"/>
              <w:bCs w:val="0"/>
              <w:szCs w:val="32"/>
              <w:highlight w:val="none"/>
              <w:lang w:val="en-US" w:eastAsia="zh-CN"/>
            </w:rPr>
            <w:t>交易</w:t>
          </w:r>
          <w:r>
            <w:rPr>
              <w:rFonts w:hint="eastAsia" w:ascii="Times New Roman" w:hAnsi="Times New Roman" w:eastAsia="黑体" w:cs="Times New Roman"/>
              <w:bCs w:val="0"/>
              <w:szCs w:val="32"/>
              <w:highlight w:val="none"/>
              <w:lang w:eastAsia="zh"/>
            </w:rPr>
            <w:t>校核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_Toc194129840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234C7E00">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_Toc2061174735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w:t>
          </w:r>
          <w:r>
            <w:rPr>
              <w:rFonts w:hint="eastAsia" w:ascii="Times New Roman" w:hAnsi="Times New Roman" w:eastAsia="黑体" w:cs="Times New Roman"/>
              <w:bCs w:val="0"/>
              <w:szCs w:val="32"/>
              <w:highlight w:val="none"/>
              <w:lang w:val="en-US" w:eastAsia="zh-CN"/>
            </w:rPr>
            <w:t>七</w:t>
          </w:r>
          <w:r>
            <w:rPr>
              <w:rFonts w:hint="eastAsia" w:ascii="Times New Roman" w:hAnsi="Times New Roman" w:eastAsia="黑体" w:cs="Times New Roman"/>
              <w:bCs w:val="0"/>
              <w:szCs w:val="32"/>
              <w:highlight w:val="none"/>
              <w:lang w:eastAsia="zh"/>
            </w:rPr>
            <w:t>章 合同管理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_Toc2061174735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1601BC1F">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_Toc405695262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rPr>
            <w:t>第一节 合同签订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_Toc405695262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7E6488C">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_Toc1689437501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rPr>
            <w:t>第</w:t>
          </w:r>
          <w:r>
            <w:rPr>
              <w:rFonts w:hint="eastAsia" w:ascii="Times New Roman" w:hAnsi="Times New Roman" w:eastAsia="方正楷体_GBK" w:cs="Times New Roman"/>
              <w:bCs w:val="0"/>
              <w:szCs w:val="32"/>
              <w:highlight w:val="none"/>
              <w:lang w:val="en-US" w:eastAsia="zh-CN"/>
            </w:rPr>
            <w:t>二</w:t>
          </w:r>
          <w:r>
            <w:rPr>
              <w:rFonts w:hint="eastAsia" w:ascii="Times New Roman" w:hAnsi="Times New Roman" w:eastAsia="方正楷体_GBK" w:cs="Times New Roman"/>
              <w:bCs w:val="0"/>
              <w:szCs w:val="32"/>
              <w:highlight w:val="none"/>
            </w:rPr>
            <w:t>节 合同执行</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_Toc1689437501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6D6FA91F">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_Toc761125875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w:t>
          </w:r>
          <w:r>
            <w:rPr>
              <w:rFonts w:hint="eastAsia" w:ascii="Times New Roman" w:hAnsi="Times New Roman" w:eastAsia="黑体" w:cs="Times New Roman"/>
              <w:bCs w:val="0"/>
              <w:szCs w:val="32"/>
              <w:highlight w:val="none"/>
              <w:lang w:val="en-US" w:eastAsia="zh-CN"/>
            </w:rPr>
            <w:t>八</w:t>
          </w:r>
          <w:r>
            <w:rPr>
              <w:rFonts w:hint="eastAsia" w:ascii="Times New Roman" w:hAnsi="Times New Roman" w:eastAsia="黑体" w:cs="Times New Roman"/>
              <w:bCs w:val="0"/>
              <w:szCs w:val="32"/>
              <w:highlight w:val="none"/>
              <w:lang w:eastAsia="zh"/>
            </w:rPr>
            <w:t>章 计量和结算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_Toc761125875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DB16B0B">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_Toc1256575153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rPr>
            <w:t xml:space="preserve">第一节 </w:t>
          </w:r>
          <w:r>
            <w:rPr>
              <w:rFonts w:hint="eastAsia" w:ascii="Times New Roman" w:hAnsi="Times New Roman" w:eastAsia="方正楷体_GBK" w:cs="Times New Roman"/>
              <w:bCs w:val="0"/>
              <w:szCs w:val="32"/>
              <w:highlight w:val="none"/>
              <w:lang w:val="en-US" w:eastAsia="zh-CN"/>
            </w:rPr>
            <w:t>计量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_Toc1256575153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E34F470">
          <w:pPr>
            <w:pStyle w:val="12"/>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_Toc850130861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方正楷体_GBK" w:cs="Times New Roman"/>
              <w:bCs w:val="0"/>
              <w:szCs w:val="32"/>
              <w:highlight w:val="none"/>
            </w:rPr>
            <w:t>第</w:t>
          </w:r>
          <w:r>
            <w:rPr>
              <w:rFonts w:hint="eastAsia" w:ascii="Times New Roman" w:hAnsi="Times New Roman" w:eastAsia="方正楷体_GBK" w:cs="Times New Roman"/>
              <w:bCs w:val="0"/>
              <w:szCs w:val="32"/>
              <w:highlight w:val="none"/>
              <w:lang w:val="en-US" w:eastAsia="zh-CN"/>
            </w:rPr>
            <w:t>二</w:t>
          </w:r>
          <w:r>
            <w:rPr>
              <w:rFonts w:hint="eastAsia" w:ascii="Times New Roman" w:hAnsi="Times New Roman" w:eastAsia="方正楷体_GBK" w:cs="Times New Roman"/>
              <w:bCs w:val="0"/>
              <w:szCs w:val="32"/>
              <w:highlight w:val="none"/>
            </w:rPr>
            <w:t xml:space="preserve">节 </w:t>
          </w:r>
          <w:r>
            <w:rPr>
              <w:rFonts w:hint="eastAsia" w:ascii="Times New Roman" w:hAnsi="Times New Roman" w:eastAsia="方正楷体_GBK" w:cs="Times New Roman"/>
              <w:bCs w:val="0"/>
              <w:szCs w:val="32"/>
              <w:highlight w:val="none"/>
              <w:lang w:val="en-US" w:eastAsia="zh-CN"/>
            </w:rPr>
            <w:t>结算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_Toc850130861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EC12FE8">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_Toc1949320282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w:t>
          </w:r>
          <w:r>
            <w:rPr>
              <w:rFonts w:hint="eastAsia" w:ascii="Times New Roman" w:hAnsi="Times New Roman" w:eastAsia="黑体" w:cs="Times New Roman"/>
              <w:bCs w:val="0"/>
              <w:szCs w:val="32"/>
              <w:highlight w:val="none"/>
              <w:lang w:val="en-US" w:eastAsia="zh-CN"/>
            </w:rPr>
            <w:t>九</w:t>
          </w:r>
          <w:r>
            <w:rPr>
              <w:rFonts w:hint="eastAsia" w:ascii="Times New Roman" w:hAnsi="Times New Roman" w:eastAsia="黑体" w:cs="Times New Roman"/>
              <w:bCs w:val="0"/>
              <w:szCs w:val="32"/>
              <w:highlight w:val="none"/>
              <w:lang w:eastAsia="zh"/>
            </w:rPr>
            <w:t xml:space="preserve">章 </w:t>
          </w:r>
          <w:r>
            <w:rPr>
              <w:rFonts w:hint="eastAsia" w:ascii="Times New Roman" w:hAnsi="Times New Roman" w:eastAsia="黑体" w:cs="Times New Roman"/>
              <w:bCs w:val="0"/>
              <w:szCs w:val="32"/>
              <w:highlight w:val="none"/>
              <w:lang w:val="en-US" w:eastAsia="zh-CN"/>
            </w:rPr>
            <w:t>信息披露</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_Toc1949320282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AC84D55">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_Toc116018668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第十章 市场技术支持系统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_Toc116018668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1B5739A3">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_Toc657546766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val="en-US" w:eastAsia="zh-CN"/>
            </w:rPr>
            <w:t xml:space="preserve">第十一章 </w:t>
          </w:r>
          <w:r>
            <w:rPr>
              <w:rFonts w:hint="eastAsia" w:ascii="Times New Roman" w:hAnsi="Times New Roman" w:eastAsia="黑体" w:cs="Times New Roman"/>
              <w:bCs w:val="0"/>
              <w:szCs w:val="32"/>
              <w:highlight w:val="none"/>
              <w:lang w:eastAsia="zh"/>
            </w:rPr>
            <w:t>风险防控</w:t>
          </w:r>
          <w:r>
            <w:rPr>
              <w:rFonts w:hint="eastAsia" w:ascii="Times New Roman" w:hAnsi="Times New Roman" w:eastAsia="黑体" w:cs="Times New Roman"/>
              <w:bCs w:val="0"/>
              <w:szCs w:val="32"/>
              <w:highlight w:val="none"/>
              <w:lang w:val="en-US" w:eastAsia="zh-CN"/>
            </w:rPr>
            <w:t>及争议处理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_Toc657546766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268C191A">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_Toc866452207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第十</w:t>
          </w:r>
          <w:r>
            <w:rPr>
              <w:rFonts w:hint="eastAsia" w:ascii="Times New Roman" w:hAnsi="Times New Roman" w:eastAsia="黑体" w:cs="Times New Roman"/>
              <w:bCs w:val="0"/>
              <w:szCs w:val="32"/>
              <w:highlight w:val="none"/>
              <w:lang w:val="en-US" w:eastAsia="zh-CN"/>
            </w:rPr>
            <w:t>二</w:t>
          </w:r>
          <w:r>
            <w:rPr>
              <w:rFonts w:hint="eastAsia" w:ascii="Times New Roman" w:hAnsi="Times New Roman" w:eastAsia="黑体" w:cs="Times New Roman"/>
              <w:bCs w:val="0"/>
              <w:szCs w:val="32"/>
              <w:highlight w:val="none"/>
              <w:lang w:eastAsia="zh"/>
            </w:rPr>
            <w:t xml:space="preserve">章 </w:t>
          </w:r>
          <w:r>
            <w:rPr>
              <w:rFonts w:hint="eastAsia" w:ascii="Times New Roman" w:hAnsi="Times New Roman" w:eastAsia="黑体" w:cs="Times New Roman"/>
              <w:bCs w:val="0"/>
              <w:szCs w:val="32"/>
              <w:highlight w:val="none"/>
              <w:lang w:val="en-US" w:eastAsia="zh-CN"/>
            </w:rPr>
            <w:t>法律责任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_Toc866452207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3CC0DB2B">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_Toc182461487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黑体" w:cs="Times New Roman"/>
              <w:bCs w:val="0"/>
              <w:szCs w:val="32"/>
              <w:highlight w:val="none"/>
              <w:lang w:eastAsia="zh"/>
            </w:rPr>
            <w:t>第十</w:t>
          </w:r>
          <w:r>
            <w:rPr>
              <w:rFonts w:hint="eastAsia" w:ascii="Times New Roman" w:hAnsi="Times New Roman" w:eastAsia="黑体" w:cs="Times New Roman"/>
              <w:bCs w:val="0"/>
              <w:szCs w:val="32"/>
              <w:highlight w:val="none"/>
              <w:lang w:val="en-US" w:eastAsia="zh-CN"/>
            </w:rPr>
            <w:t>三</w:t>
          </w:r>
          <w:r>
            <w:rPr>
              <w:rFonts w:hint="eastAsia" w:ascii="Times New Roman" w:hAnsi="Times New Roman" w:eastAsia="黑体" w:cs="Times New Roman"/>
              <w:bCs w:val="0"/>
              <w:szCs w:val="32"/>
              <w:highlight w:val="none"/>
              <w:lang w:eastAsia="zh"/>
            </w:rPr>
            <w:t>章 附则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_Toc182461487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24B9F216">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_Toc1890589063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仿宋" w:cs="Times New Roman"/>
              <w:bCs w:val="0"/>
              <w:szCs w:val="32"/>
              <w:highlight w:val="none"/>
            </w:rPr>
            <w:t>附件</w:t>
          </w:r>
          <w:r>
            <w:rPr>
              <w:rFonts w:hint="eastAsia" w:ascii="Times New Roman" w:hAnsi="Times New Roman" w:eastAsia="仿宋" w:cs="Times New Roman"/>
              <w:bCs w:val="0"/>
              <w:szCs w:val="32"/>
              <w:highlight w:val="none"/>
              <w:lang w:val="en-US" w:eastAsia="zh-CN"/>
            </w:rPr>
            <w:t>1</w:t>
          </w:r>
          <w:r>
            <w:rPr>
              <w:rFonts w:hint="eastAsia" w:ascii="Times New Roman" w:hAnsi="Times New Roman" w:eastAsia="仿宋" w:cs="Times New Roman"/>
              <w:bCs w:val="0"/>
              <w:szCs w:val="32"/>
              <w:highlight w:val="none"/>
            </w:rPr>
            <w:t xml:space="preserve"> 名词解释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_Toc1890589063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65FBE6ED">
          <w:pPr>
            <w:pStyle w:val="11"/>
            <w:tabs>
              <w:tab w:val="right" w:leader="dot" w:pos="8306"/>
            </w:tabs>
            <w:rPr>
              <w:rFonts w:ascii="Times New Roman" w:hAnsi="Times New Roman"/>
            </w:rPr>
          </w:pPr>
          <w:r>
            <w:rPr>
              <w:rFonts w:hint="default" w:ascii="Times New Roman" w:hAnsi="Times New Roman" w:eastAsia="方正仿宋_GBK" w:cs="Times New Roman"/>
              <w:bCs w:val="0"/>
              <w:color w:val="auto"/>
              <w:kern w:val="2"/>
              <w:szCs w:val="24"/>
              <w:highlight w:val="none"/>
              <w:lang w:val="en-US" w:eastAsia="zh-CN" w:bidi="ar-SA"/>
            </w:rPr>
            <w:fldChar w:fldCharType="begin"/>
          </w:r>
          <w:r>
            <w:rPr>
              <w:rFonts w:hint="default" w:ascii="Times New Roman" w:hAnsi="Times New Roman" w:eastAsia="方正仿宋_GBK" w:cs="Times New Roman"/>
              <w:bCs w:val="0"/>
              <w:kern w:val="2"/>
              <w:szCs w:val="24"/>
              <w:highlight w:val="none"/>
              <w:lang w:val="en-US" w:eastAsia="zh-CN" w:bidi="ar-SA"/>
            </w:rPr>
            <w:instrText xml:space="preserve"> HYPERLINK \l _Toc1776190555 </w:instrText>
          </w:r>
          <w:r>
            <w:rPr>
              <w:rFonts w:hint="default" w:ascii="Times New Roman" w:hAnsi="Times New Roman" w:eastAsia="方正仿宋_GBK" w:cs="Times New Roman"/>
              <w:bCs w:val="0"/>
              <w:kern w:val="2"/>
              <w:szCs w:val="24"/>
              <w:highlight w:val="none"/>
              <w:lang w:val="en-US" w:eastAsia="zh-CN" w:bidi="ar-SA"/>
            </w:rPr>
            <w:fldChar w:fldCharType="separate"/>
          </w:r>
          <w:r>
            <w:rPr>
              <w:rFonts w:hint="eastAsia" w:ascii="Times New Roman" w:hAnsi="Times New Roman" w:eastAsia="仿宋" w:cs="Times New Roman"/>
              <w:bCs w:val="0"/>
              <w:szCs w:val="32"/>
              <w:highlight w:val="none"/>
            </w:rPr>
            <w:t>附件</w:t>
          </w:r>
          <w:r>
            <w:rPr>
              <w:rFonts w:hint="eastAsia" w:ascii="Times New Roman" w:hAnsi="Times New Roman" w:eastAsia="仿宋" w:cs="Times New Roman"/>
              <w:bCs w:val="0"/>
              <w:szCs w:val="32"/>
              <w:highlight w:val="none"/>
              <w:lang w:val="en-US" w:eastAsia="zh-CN"/>
            </w:rPr>
            <w:t>2</w:t>
          </w:r>
          <w:r>
            <w:rPr>
              <w:rFonts w:hint="eastAsia" w:ascii="Times New Roman" w:hAnsi="Times New Roman" w:eastAsia="仿宋" w:cs="Times New Roman"/>
              <w:bCs w:val="0"/>
              <w:szCs w:val="32"/>
              <w:highlight w:val="none"/>
            </w:rPr>
            <w:t xml:space="preserve"> </w:t>
          </w:r>
          <w:r>
            <w:rPr>
              <w:rFonts w:hint="eastAsia" w:ascii="Times New Roman" w:hAnsi="Times New Roman" w:eastAsia="仿宋" w:cs="Times New Roman"/>
              <w:bCs w:val="0"/>
              <w:szCs w:val="32"/>
              <w:highlight w:val="none"/>
              <w:lang w:val="en-US" w:eastAsia="zh-CN"/>
            </w:rPr>
            <w:t>电力市场风险类型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_Toc1776190555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hint="default" w:ascii="Times New Roman" w:hAnsi="Times New Roman" w:eastAsia="方正仿宋_GBK" w:cs="Times New Roman"/>
              <w:bCs w:val="0"/>
              <w:color w:val="auto"/>
              <w:kern w:val="2"/>
              <w:szCs w:val="24"/>
              <w:highlight w:val="none"/>
              <w:lang w:val="en-US" w:eastAsia="zh-CN" w:bidi="ar-SA"/>
            </w:rPr>
            <w:fldChar w:fldCharType="end"/>
          </w:r>
        </w:p>
        <w:p w14:paraId="598A9C5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Times New Roman" w:hAnsi="Times New Roman" w:eastAsia="仿宋"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b w:val="0"/>
              <w:bCs w:val="0"/>
              <w:color w:val="auto"/>
              <w:kern w:val="2"/>
              <w:szCs w:val="24"/>
              <w:highlight w:val="none"/>
              <w:lang w:val="en-US" w:eastAsia="zh-CN" w:bidi="ar-SA"/>
            </w:rPr>
            <w:fldChar w:fldCharType="end"/>
          </w:r>
        </w:p>
      </w:sdtContent>
    </w:sdt>
    <w:p w14:paraId="5FB58B16">
      <w:pPr>
        <w:rPr>
          <w:rFonts w:hint="eastAsia" w:ascii="Times New Roman" w:hAnsi="Times New Roman" w:eastAsia="仿宋" w:cs="Times New Roman"/>
          <w:b w:val="0"/>
          <w:bCs w:val="0"/>
          <w:color w:val="auto"/>
          <w:sz w:val="32"/>
          <w:szCs w:val="32"/>
          <w:highlight w:val="none"/>
        </w:rPr>
      </w:pPr>
      <w:r>
        <w:rPr>
          <w:rFonts w:hint="eastAsia" w:ascii="Times New Roman" w:hAnsi="Times New Roman" w:eastAsia="仿宋" w:cs="Times New Roman"/>
          <w:b w:val="0"/>
          <w:bCs w:val="0"/>
          <w:color w:val="auto"/>
          <w:sz w:val="32"/>
          <w:szCs w:val="32"/>
          <w:highlight w:val="none"/>
        </w:rPr>
        <w:br w:type="page"/>
      </w:r>
    </w:p>
    <w:p w14:paraId="01A28A6F">
      <w:pPr>
        <w:spacing w:line="420" w:lineRule="exact"/>
        <w:jc w:val="center"/>
        <w:rPr>
          <w:rFonts w:hint="eastAsia" w:ascii="Times New Roman" w:hAnsi="Times New Roman" w:eastAsia="仿宋" w:cs="Times New Roman"/>
          <w:b w:val="0"/>
          <w:bCs w:val="0"/>
          <w:color w:val="auto"/>
          <w:sz w:val="32"/>
          <w:szCs w:val="32"/>
          <w:highlight w:val="none"/>
        </w:rPr>
        <w:sectPr>
          <w:headerReference r:id="rId3" w:type="default"/>
          <w:pgSz w:w="11906" w:h="16838"/>
          <w:pgMar w:top="1440" w:right="1800" w:bottom="1440" w:left="1800" w:header="851" w:footer="992" w:gutter="0"/>
          <w:pgNumType w:fmt="decimal"/>
          <w:cols w:space="425" w:num="1"/>
          <w:docGrid w:type="lines" w:linePitch="312" w:charSpace="0"/>
        </w:sectPr>
      </w:pPr>
    </w:p>
    <w:p w14:paraId="146542A0">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
        </w:rPr>
      </w:pPr>
      <w:bookmarkStart w:id="0" w:name="_Toc11814"/>
      <w:bookmarkStart w:id="1" w:name="_Toc18244"/>
      <w:bookmarkStart w:id="2" w:name="_Toc16986"/>
      <w:bookmarkStart w:id="3" w:name="_Toc25487"/>
      <w:bookmarkStart w:id="4" w:name="_Toc816712691"/>
      <w:bookmarkStart w:id="5" w:name="_Toc1901622847"/>
      <w:bookmarkStart w:id="6" w:name="_Toc20651"/>
      <w:bookmarkStart w:id="7" w:name="_Toc12900"/>
      <w:bookmarkStart w:id="8" w:name="_Toc11598"/>
      <w:bookmarkStart w:id="9" w:name="_Toc10923"/>
      <w:bookmarkStart w:id="10" w:name="_Toc583927558"/>
      <w:bookmarkStart w:id="11" w:name="_Toc10005"/>
      <w:bookmarkStart w:id="12" w:name="_Toc3466"/>
      <w:bookmarkStart w:id="13" w:name="_Toc147426333"/>
      <w:r>
        <w:rPr>
          <w:rFonts w:hint="eastAsia" w:ascii="Times New Roman" w:hAnsi="Times New Roman" w:eastAsia="黑体" w:cs="Times New Roman"/>
          <w:b w:val="0"/>
          <w:bCs w:val="0"/>
          <w:color w:val="auto"/>
          <w:sz w:val="32"/>
          <w:szCs w:val="32"/>
          <w:highlight w:val="none"/>
          <w:lang w:eastAsia="zh"/>
        </w:rPr>
        <w:t>第一章 总则</w:t>
      </w:r>
      <w:bookmarkEnd w:id="0"/>
      <w:bookmarkEnd w:id="1"/>
      <w:bookmarkEnd w:id="2"/>
      <w:bookmarkEnd w:id="3"/>
      <w:bookmarkEnd w:id="4"/>
      <w:bookmarkEnd w:id="5"/>
      <w:bookmarkEnd w:id="6"/>
      <w:bookmarkEnd w:id="7"/>
      <w:bookmarkEnd w:id="8"/>
      <w:bookmarkEnd w:id="9"/>
      <w:bookmarkEnd w:id="10"/>
      <w:bookmarkEnd w:id="11"/>
      <w:bookmarkEnd w:id="12"/>
      <w:bookmarkEnd w:id="13"/>
    </w:p>
    <w:p w14:paraId="17332744">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color w:val="auto"/>
          <w:sz w:val="32"/>
          <w:szCs w:val="32"/>
          <w:highlight w:val="none"/>
          <w:lang w:eastAsia="zh-Hans"/>
        </w:rPr>
      </w:pPr>
      <w:r>
        <w:rPr>
          <w:rFonts w:hint="eastAsia" w:ascii="Times New Roman" w:hAnsi="Times New Roman" w:eastAsia="方正仿宋_GBK" w:cs="Times New Roman"/>
          <w:b w:val="0"/>
          <w:bCs w:val="0"/>
          <w:color w:val="auto"/>
          <w:sz w:val="32"/>
          <w:szCs w:val="32"/>
          <w:highlight w:val="none"/>
        </w:rPr>
        <w:t>为加快推进全国统一电力市场建设，规范</w:t>
      </w:r>
      <w:r>
        <w:rPr>
          <w:rFonts w:hint="eastAsia" w:ascii="Times New Roman" w:hAnsi="Times New Roman" w:eastAsia="方正仿宋_GBK" w:cs="Times New Roman"/>
          <w:b w:val="0"/>
          <w:bCs w:val="0"/>
          <w:color w:val="auto"/>
          <w:sz w:val="32"/>
          <w:szCs w:val="32"/>
          <w:highlight w:val="none"/>
          <w:lang w:eastAsia="zh-CN"/>
        </w:rPr>
        <w:t>电力中长期交易</w:t>
      </w:r>
      <w:r>
        <w:rPr>
          <w:rFonts w:hint="eastAsia" w:ascii="Times New Roman" w:hAnsi="Times New Roman" w:eastAsia="方正仿宋_GBK" w:cs="Times New Roman"/>
          <w:b w:val="0"/>
          <w:bCs w:val="0"/>
          <w:color w:val="auto"/>
          <w:sz w:val="32"/>
          <w:szCs w:val="32"/>
          <w:highlight w:val="none"/>
        </w:rPr>
        <w:t>行为，依法保护</w:t>
      </w:r>
      <w:r>
        <w:rPr>
          <w:rFonts w:hint="eastAsia" w:ascii="Times New Roman" w:hAnsi="Times New Roman" w:eastAsia="方正仿宋_GBK" w:cs="Times New Roman"/>
          <w:b w:val="0"/>
          <w:bCs w:val="0"/>
          <w:color w:val="auto"/>
          <w:sz w:val="32"/>
          <w:szCs w:val="32"/>
          <w:highlight w:val="none"/>
          <w:lang w:eastAsia="zh-CN"/>
        </w:rPr>
        <w:t>电力</w:t>
      </w:r>
      <w:r>
        <w:rPr>
          <w:rFonts w:hint="eastAsia" w:ascii="Times New Roman" w:hAnsi="Times New Roman" w:eastAsia="方正仿宋_GBK" w:cs="Times New Roman"/>
          <w:b w:val="0"/>
          <w:bCs w:val="0"/>
          <w:color w:val="auto"/>
          <w:sz w:val="32"/>
          <w:szCs w:val="32"/>
          <w:highlight w:val="none"/>
        </w:rPr>
        <w:t>市场经营主体合法权益，保证电力市场的统一、开放、竞争、</w:t>
      </w:r>
      <w:bookmarkStart w:id="291" w:name="_GoBack"/>
      <w:bookmarkEnd w:id="291"/>
      <w:r>
        <w:rPr>
          <w:rFonts w:hint="eastAsia" w:ascii="Times New Roman" w:hAnsi="Times New Roman" w:eastAsia="方正仿宋_GBK" w:cs="Times New Roman"/>
          <w:b w:val="0"/>
          <w:bCs w:val="0"/>
          <w:color w:val="auto"/>
          <w:sz w:val="32"/>
          <w:szCs w:val="32"/>
          <w:highlight w:val="none"/>
        </w:rPr>
        <w:t>有序，落实《中共中央 国务院关于进一步深化电力体制改革的若干意见》（中发〔2015〕9号）要求，根据《中华人民共和国能源法》《中华人民共和国电力法》《电力市场运行基本规则》及有关配套规定，制定本规则。</w:t>
      </w:r>
    </w:p>
    <w:p w14:paraId="1AE64B82">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kern w:val="2"/>
          <w:sz w:val="32"/>
          <w:szCs w:val="32"/>
          <w:highlight w:val="none"/>
        </w:rPr>
        <w:t>本</w:t>
      </w:r>
      <w:r>
        <w:rPr>
          <w:rFonts w:hint="eastAsia" w:ascii="Times New Roman" w:hAnsi="Times New Roman" w:eastAsia="方正仿宋_GBK" w:cs="Times New Roman"/>
          <w:b w:val="0"/>
          <w:bCs w:val="0"/>
          <w:color w:val="auto"/>
          <w:sz w:val="32"/>
          <w:szCs w:val="32"/>
          <w:highlight w:val="none"/>
        </w:rPr>
        <w:t>规则所称</w:t>
      </w:r>
      <w:r>
        <w:rPr>
          <w:rFonts w:hint="eastAsia" w:ascii="Times New Roman" w:hAnsi="Times New Roman" w:eastAsia="方正仿宋_GBK" w:cs="Times New Roman"/>
          <w:b w:val="0"/>
          <w:bCs w:val="0"/>
          <w:color w:val="auto"/>
          <w:sz w:val="32"/>
          <w:szCs w:val="32"/>
          <w:highlight w:val="none"/>
          <w:lang w:eastAsia="zh-CN"/>
        </w:rPr>
        <w:t>电力中长期</w:t>
      </w:r>
      <w:r>
        <w:rPr>
          <w:rFonts w:hint="eastAsia" w:ascii="Times New Roman" w:hAnsi="Times New Roman" w:eastAsia="方正仿宋_GBK" w:cs="Times New Roman"/>
          <w:b w:val="0"/>
          <w:bCs w:val="0"/>
          <w:color w:val="auto"/>
          <w:sz w:val="32"/>
          <w:szCs w:val="32"/>
          <w:highlight w:val="none"/>
          <w:lang w:eastAsia="zh-CN"/>
        </w:rPr>
        <w:t>市场</w:t>
      </w:r>
      <w:r>
        <w:rPr>
          <w:rFonts w:hint="default" w:ascii="Times New Roman" w:hAnsi="Times New Roman" w:eastAsia="方正仿宋_GBK" w:cs="Times New Roman"/>
          <w:b w:val="0"/>
          <w:bCs w:val="0"/>
          <w:color w:val="auto"/>
          <w:sz w:val="32"/>
          <w:szCs w:val="32"/>
          <w:highlight w:val="none"/>
        </w:rPr>
        <w:t>，</w:t>
      </w:r>
      <w:r>
        <w:rPr>
          <w:rFonts w:hint="eastAsia" w:ascii="Times New Roman" w:hAnsi="Times New Roman" w:eastAsia="方正仿宋_GBK" w:cs="Times New Roman"/>
          <w:b w:val="0"/>
          <w:bCs w:val="0"/>
          <w:color w:val="auto"/>
          <w:sz w:val="32"/>
          <w:szCs w:val="32"/>
          <w:highlight w:val="none"/>
          <w:lang w:val="en-US" w:eastAsia="zh-CN"/>
        </w:rPr>
        <w:t>是</w:t>
      </w:r>
      <w:r>
        <w:rPr>
          <w:rFonts w:hint="eastAsia" w:ascii="Times New Roman" w:hAnsi="Times New Roman" w:eastAsia="方正仿宋_GBK" w:cs="Times New Roman"/>
          <w:b w:val="0"/>
          <w:bCs w:val="0"/>
          <w:color w:val="auto"/>
          <w:sz w:val="32"/>
          <w:szCs w:val="32"/>
          <w:highlight w:val="none"/>
        </w:rPr>
        <w:t>指</w:t>
      </w:r>
      <w:r>
        <w:rPr>
          <w:rFonts w:hint="eastAsia" w:ascii="Times New Roman" w:hAnsi="Times New Roman" w:eastAsia="方正仿宋_GBK" w:cs="Times New Roman"/>
          <w:b w:val="0"/>
          <w:bCs w:val="0"/>
          <w:color w:val="auto"/>
          <w:sz w:val="32"/>
          <w:szCs w:val="32"/>
          <w:highlight w:val="none"/>
          <w:lang w:eastAsia="zh-CN"/>
        </w:rPr>
        <w:t>符合市场注册条件的经营主体开展</w:t>
      </w:r>
      <w:r>
        <w:rPr>
          <w:rFonts w:hint="eastAsia" w:ascii="Times New Roman" w:hAnsi="Times New Roman" w:eastAsia="方正仿宋_GBK" w:cs="Times New Roman"/>
          <w:b w:val="0"/>
          <w:bCs w:val="0"/>
          <w:color w:val="auto"/>
          <w:sz w:val="32"/>
          <w:szCs w:val="32"/>
          <w:highlight w:val="none"/>
          <w:lang w:val="en-US" w:eastAsia="zh-Hans"/>
        </w:rPr>
        <w:t>数年</w:t>
      </w:r>
      <w:r>
        <w:rPr>
          <w:rFonts w:hint="eastAsia" w:ascii="Times New Roman" w:hAnsi="Times New Roman" w:eastAsia="方正仿宋_GBK" w:cs="Times New Roman"/>
          <w:b w:val="0"/>
          <w:bCs w:val="0"/>
          <w:color w:val="auto"/>
          <w:sz w:val="32"/>
          <w:szCs w:val="32"/>
          <w:highlight w:val="none"/>
          <w:lang w:val="en-US" w:eastAsia="zh-CN"/>
        </w:rPr>
        <w:t>、年、月、月内（含</w:t>
      </w:r>
      <w:r>
        <w:rPr>
          <w:rFonts w:hint="eastAsia" w:ascii="Times New Roman" w:hAnsi="Times New Roman" w:eastAsia="方正仿宋_GBK" w:cs="Times New Roman"/>
          <w:b w:val="0"/>
          <w:bCs w:val="0"/>
          <w:color w:val="auto"/>
          <w:sz w:val="32"/>
          <w:szCs w:val="32"/>
          <w:highlight w:val="none"/>
          <w:lang w:val="en-US" w:eastAsia="zh-Hans"/>
        </w:rPr>
        <w:t>周</w:t>
      </w:r>
      <w:r>
        <w:rPr>
          <w:rFonts w:hint="eastAsia" w:ascii="Times New Roman" w:hAnsi="Times New Roman" w:eastAsia="方正仿宋_GBK" w:cs="Times New Roman"/>
          <w:b w:val="0"/>
          <w:bCs w:val="0"/>
          <w:color w:val="auto"/>
          <w:sz w:val="32"/>
          <w:szCs w:val="32"/>
          <w:highlight w:val="none"/>
          <w:lang w:val="en-US" w:eastAsia="zh-CN"/>
        </w:rPr>
        <w:t>、多日）等不同时间维度的</w:t>
      </w:r>
      <w:r>
        <w:rPr>
          <w:rFonts w:hint="eastAsia" w:ascii="Times New Roman" w:hAnsi="Times New Roman" w:eastAsia="方正仿宋_GBK" w:cs="Times New Roman"/>
          <w:b w:val="0"/>
          <w:bCs w:val="0"/>
          <w:color w:val="auto"/>
          <w:sz w:val="32"/>
          <w:szCs w:val="32"/>
          <w:highlight w:val="none"/>
          <w:lang w:val="en-US" w:eastAsia="zh-Hans"/>
        </w:rPr>
        <w:t>电能量</w:t>
      </w:r>
      <w:r>
        <w:rPr>
          <w:rFonts w:hint="eastAsia" w:ascii="Times New Roman" w:hAnsi="Times New Roman" w:eastAsia="方正仿宋_GBK" w:cs="Times New Roman"/>
          <w:b w:val="0"/>
          <w:bCs w:val="0"/>
          <w:color w:val="auto"/>
          <w:sz w:val="32"/>
          <w:szCs w:val="32"/>
          <w:highlight w:val="none"/>
          <w:lang w:val="en-US" w:eastAsia="zh-CN"/>
        </w:rPr>
        <w:t>交易</w:t>
      </w:r>
      <w:r>
        <w:rPr>
          <w:rFonts w:hint="eastAsia" w:ascii="Times New Roman" w:hAnsi="Times New Roman" w:eastAsia="方正仿宋_GBK" w:cs="Times New Roman"/>
          <w:b w:val="0"/>
          <w:bCs w:val="0"/>
          <w:color w:val="auto"/>
          <w:sz w:val="32"/>
          <w:szCs w:val="32"/>
          <w:highlight w:val="none"/>
          <w:lang w:eastAsia="zh-CN"/>
        </w:rPr>
        <w:t>的市场，电力中长期交易是指在电力中长期市场中开展的</w:t>
      </w:r>
      <w:r>
        <w:rPr>
          <w:rFonts w:hint="eastAsia" w:ascii="Times New Roman" w:hAnsi="Times New Roman" w:eastAsia="方正仿宋_GBK" w:cs="Times New Roman"/>
          <w:b w:val="0"/>
          <w:bCs w:val="0"/>
          <w:color w:val="auto"/>
          <w:sz w:val="32"/>
          <w:szCs w:val="32"/>
          <w:highlight w:val="none"/>
          <w:lang w:val="en-US" w:eastAsia="zh-CN"/>
        </w:rPr>
        <w:t>对未来</w:t>
      </w:r>
      <w:r>
        <w:rPr>
          <w:rFonts w:hint="eastAsia" w:ascii="Times New Roman" w:hAnsi="Times New Roman" w:eastAsia="方正仿宋_GBK" w:cs="Times New Roman"/>
          <w:b w:val="0"/>
          <w:bCs w:val="0"/>
          <w:color w:val="auto"/>
          <w:sz w:val="32"/>
          <w:szCs w:val="32"/>
          <w:highlight w:val="none"/>
          <w:lang w:val="en-US" w:eastAsia="zh-Hans"/>
        </w:rPr>
        <w:t>某一</w:t>
      </w:r>
      <w:r>
        <w:rPr>
          <w:rFonts w:hint="eastAsia" w:ascii="Times New Roman" w:hAnsi="Times New Roman" w:eastAsia="方正仿宋_GBK" w:cs="Times New Roman"/>
          <w:b w:val="0"/>
          <w:bCs w:val="0"/>
          <w:color w:val="auto"/>
          <w:sz w:val="32"/>
          <w:szCs w:val="32"/>
          <w:highlight w:val="none"/>
          <w:lang w:val="en-US" w:eastAsia="zh-CN"/>
        </w:rPr>
        <w:t>时期内交割电力产品或服务的交易。</w:t>
      </w:r>
    </w:p>
    <w:p w14:paraId="4B60AD54">
      <w:pPr>
        <w:numPr>
          <w:ilvl w:val="0"/>
          <w:numId w:val="4"/>
        </w:numPr>
        <w:adjustRightInd w:val="0"/>
        <w:snapToGrid w:val="0"/>
        <w:spacing w:line="588" w:lineRule="exact"/>
        <w:ind w:left="-13" w:firstLine="640" w:firstLineChars="0"/>
        <w:jc w:val="left"/>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Hans"/>
        </w:rPr>
        <w:t>本规则适用于全国范围内</w:t>
      </w:r>
      <w:r>
        <w:rPr>
          <w:rFonts w:hint="eastAsia" w:ascii="Times New Roman" w:hAnsi="Times New Roman" w:eastAsia="方正仿宋_GBK" w:cs="Times New Roman"/>
          <w:b w:val="0"/>
          <w:bCs w:val="0"/>
          <w:color w:val="auto"/>
          <w:sz w:val="32"/>
          <w:szCs w:val="32"/>
          <w:highlight w:val="none"/>
          <w:lang w:val="en-US" w:eastAsia="zh-CN"/>
        </w:rPr>
        <w:t>电力中长期</w:t>
      </w:r>
      <w:r>
        <w:rPr>
          <w:rFonts w:hint="eastAsia" w:ascii="Times New Roman" w:hAnsi="Times New Roman" w:eastAsia="方正仿宋_GBK" w:cs="Times New Roman"/>
          <w:b w:val="0"/>
          <w:bCs w:val="0"/>
          <w:color w:val="auto"/>
          <w:sz w:val="32"/>
          <w:szCs w:val="32"/>
          <w:highlight w:val="none"/>
          <w:lang w:val="en-US" w:eastAsia="zh-CN"/>
        </w:rPr>
        <w:t>市场</w:t>
      </w:r>
      <w:r>
        <w:rPr>
          <w:rFonts w:hint="eastAsia" w:ascii="Times New Roman" w:hAnsi="Times New Roman" w:eastAsia="方正仿宋_GBK" w:cs="Times New Roman"/>
          <w:b w:val="0"/>
          <w:bCs w:val="0"/>
          <w:color w:val="auto"/>
          <w:sz w:val="32"/>
          <w:szCs w:val="32"/>
          <w:highlight w:val="none"/>
          <w:lang w:val="en-US" w:eastAsia="zh-Hans"/>
        </w:rPr>
        <w:t>的注册</w:t>
      </w:r>
      <w:r>
        <w:rPr>
          <w:rFonts w:hint="eastAsia" w:ascii="Times New Roman" w:hAnsi="Times New Roman" w:eastAsia="方正仿宋_GBK" w:cs="Times New Roman"/>
          <w:b w:val="0"/>
          <w:bCs w:val="0"/>
          <w:color w:val="auto"/>
          <w:sz w:val="32"/>
          <w:szCs w:val="32"/>
          <w:highlight w:val="none"/>
          <w:lang w:eastAsia="zh-Hans"/>
        </w:rPr>
        <w:t>、</w:t>
      </w:r>
      <w:r>
        <w:rPr>
          <w:rFonts w:hint="eastAsia" w:ascii="Times New Roman" w:hAnsi="Times New Roman" w:eastAsia="方正仿宋_GBK" w:cs="Times New Roman"/>
          <w:b w:val="0"/>
          <w:bCs w:val="0"/>
          <w:color w:val="auto"/>
          <w:sz w:val="32"/>
          <w:szCs w:val="32"/>
          <w:highlight w:val="none"/>
          <w:lang w:eastAsia="zh-CN"/>
        </w:rPr>
        <w:t>交易</w:t>
      </w:r>
      <w:r>
        <w:rPr>
          <w:rFonts w:hint="eastAsia" w:ascii="Times New Roman" w:hAnsi="Times New Roman" w:eastAsia="方正仿宋_GBK" w:cs="Times New Roman"/>
          <w:b w:val="0"/>
          <w:bCs w:val="0"/>
          <w:color w:val="auto"/>
          <w:sz w:val="32"/>
          <w:szCs w:val="32"/>
          <w:highlight w:val="none"/>
          <w:lang w:val="en-US" w:eastAsia="zh-CN"/>
        </w:rPr>
        <w:t>、执行</w:t>
      </w:r>
      <w:r>
        <w:rPr>
          <w:rFonts w:hint="eastAsia" w:ascii="Times New Roman" w:hAnsi="Times New Roman" w:eastAsia="方正仿宋_GBK" w:cs="Times New Roman"/>
          <w:b w:val="0"/>
          <w:bCs w:val="0"/>
          <w:color w:val="auto"/>
          <w:sz w:val="32"/>
          <w:szCs w:val="32"/>
          <w:highlight w:val="none"/>
          <w:lang w:eastAsia="zh-Hans"/>
        </w:rPr>
        <w:t>、</w:t>
      </w:r>
      <w:r>
        <w:rPr>
          <w:rFonts w:hint="eastAsia" w:ascii="Times New Roman" w:hAnsi="Times New Roman" w:eastAsia="方正仿宋_GBK" w:cs="Times New Roman"/>
          <w:b w:val="0"/>
          <w:bCs w:val="0"/>
          <w:color w:val="auto"/>
          <w:sz w:val="32"/>
          <w:szCs w:val="32"/>
          <w:highlight w:val="none"/>
          <w:lang w:val="en-US" w:eastAsia="zh-Hans"/>
        </w:rPr>
        <w:t>结算</w:t>
      </w:r>
      <w:r>
        <w:rPr>
          <w:rFonts w:hint="eastAsia" w:ascii="Times New Roman" w:hAnsi="Times New Roman" w:eastAsia="方正仿宋_GBK" w:cs="Times New Roman"/>
          <w:b w:val="0"/>
          <w:bCs w:val="0"/>
          <w:color w:val="auto"/>
          <w:sz w:val="32"/>
          <w:szCs w:val="32"/>
          <w:highlight w:val="none"/>
          <w:lang w:val="en-US" w:eastAsia="zh-CN"/>
        </w:rPr>
        <w:t>、信息披露</w:t>
      </w:r>
      <w:r>
        <w:rPr>
          <w:rFonts w:hint="eastAsia" w:ascii="Times New Roman" w:hAnsi="Times New Roman" w:eastAsia="方正仿宋_GBK" w:cs="Times New Roman"/>
          <w:b w:val="0"/>
          <w:bCs w:val="0"/>
          <w:color w:val="auto"/>
          <w:sz w:val="32"/>
          <w:szCs w:val="32"/>
          <w:highlight w:val="none"/>
          <w:lang w:val="en-US" w:eastAsia="zh-Hans"/>
        </w:rPr>
        <w:t>和监督管理等</w:t>
      </w:r>
      <w:r>
        <w:rPr>
          <w:rFonts w:hint="eastAsia" w:ascii="Times New Roman" w:hAnsi="Times New Roman" w:eastAsia="方正仿宋_GBK" w:cs="Times New Roman"/>
          <w:b w:val="0"/>
          <w:bCs w:val="0"/>
          <w:color w:val="auto"/>
          <w:sz w:val="32"/>
          <w:szCs w:val="32"/>
          <w:highlight w:val="none"/>
          <w:lang w:eastAsia="zh-CN"/>
        </w:rPr>
        <w:t>。</w:t>
      </w:r>
    </w:p>
    <w:p w14:paraId="58A07C39">
      <w:pPr>
        <w:adjustRightInd w:val="0"/>
        <w:snapToGrid w:val="0"/>
        <w:spacing w:line="588" w:lineRule="exact"/>
        <w:ind w:firstLine="640" w:firstLineChars="200"/>
        <w:jc w:val="both"/>
        <w:rPr>
          <w:rFonts w:hint="eastAsia" w:ascii="Times New Roman" w:hAnsi="Times New Roman" w:cs="Times New Roman"/>
          <w:b w:val="0"/>
          <w:bCs w:val="0"/>
          <w:color w:val="auto"/>
          <w:highlight w:val="none"/>
        </w:rPr>
      </w:pPr>
      <w:r>
        <w:rPr>
          <w:rFonts w:hint="eastAsia" w:ascii="Times New Roman" w:hAnsi="Times New Roman" w:eastAsia="方正仿宋_GBK" w:cs="Times New Roman"/>
          <w:b w:val="0"/>
          <w:bCs w:val="0"/>
          <w:color w:val="auto"/>
          <w:sz w:val="32"/>
          <w:szCs w:val="32"/>
          <w:highlight w:val="none"/>
          <w:lang w:val="en-US" w:eastAsia="zh-CN"/>
        </w:rPr>
        <w:t>按国家政策要求明确的</w:t>
      </w:r>
      <w:r>
        <w:rPr>
          <w:rFonts w:hint="eastAsia" w:ascii="Times New Roman" w:hAnsi="Times New Roman" w:eastAsia="方正仿宋_GBK" w:cs="Times New Roman"/>
          <w:b w:val="0"/>
          <w:bCs w:val="0"/>
          <w:color w:val="auto"/>
          <w:sz w:val="32"/>
          <w:szCs w:val="32"/>
          <w:highlight w:val="none"/>
        </w:rPr>
        <w:t>优先发电</w:t>
      </w:r>
      <w:r>
        <w:rPr>
          <w:rFonts w:hint="eastAsia" w:ascii="Times New Roman" w:hAnsi="Times New Roman" w:eastAsia="方正仿宋_GBK" w:cs="Times New Roman"/>
          <w:b w:val="0"/>
          <w:bCs w:val="0"/>
          <w:color w:val="auto"/>
          <w:sz w:val="32"/>
          <w:szCs w:val="32"/>
          <w:highlight w:val="none"/>
          <w:lang w:val="en-US" w:eastAsia="zh-CN"/>
        </w:rPr>
        <w:t>规模计划</w:t>
      </w:r>
      <w:r>
        <w:rPr>
          <w:rFonts w:hint="eastAsia" w:ascii="Times New Roman" w:hAnsi="Times New Roman" w:eastAsia="方正仿宋_GBK" w:cs="Times New Roman"/>
          <w:b w:val="0"/>
          <w:bCs w:val="0"/>
          <w:color w:val="auto"/>
          <w:sz w:val="32"/>
          <w:szCs w:val="32"/>
          <w:highlight w:val="none"/>
        </w:rPr>
        <w:t>视为厂网间</w:t>
      </w:r>
      <w:r>
        <w:rPr>
          <w:rFonts w:hint="eastAsia" w:ascii="Times New Roman" w:hAnsi="Times New Roman" w:eastAsia="方正仿宋_GBK" w:cs="Times New Roman"/>
          <w:b w:val="0"/>
          <w:bCs w:val="0"/>
          <w:color w:val="auto"/>
          <w:sz w:val="32"/>
          <w:szCs w:val="32"/>
          <w:highlight w:val="none"/>
          <w:lang w:val="en-US" w:eastAsia="zh-CN"/>
        </w:rPr>
        <w:t>双边协商交易</w:t>
      </w:r>
      <w:r>
        <w:rPr>
          <w:rFonts w:hint="eastAsia" w:ascii="Times New Roman" w:hAnsi="Times New Roman" w:eastAsia="方正仿宋_GBK" w:cs="Times New Roman"/>
          <w:b w:val="0"/>
          <w:bCs w:val="0"/>
          <w:color w:val="auto"/>
          <w:sz w:val="32"/>
          <w:szCs w:val="32"/>
          <w:highlight w:val="none"/>
        </w:rPr>
        <w:t>电量，签订</w:t>
      </w:r>
      <w:r>
        <w:rPr>
          <w:rFonts w:hint="eastAsia" w:ascii="Times New Roman" w:hAnsi="Times New Roman" w:eastAsia="方正仿宋_GBK" w:cs="Times New Roman"/>
          <w:b w:val="0"/>
          <w:bCs w:val="0"/>
          <w:color w:val="auto"/>
          <w:sz w:val="32"/>
          <w:szCs w:val="32"/>
          <w:highlight w:val="none"/>
          <w:lang w:val="en-US" w:eastAsia="zh-CN"/>
        </w:rPr>
        <w:t>电力中长期合同</w:t>
      </w:r>
      <w:r>
        <w:rPr>
          <w:rFonts w:hint="eastAsia" w:ascii="Times New Roman" w:hAnsi="Times New Roman" w:eastAsia="方正仿宋_GBK" w:cs="Times New Roman"/>
          <w:b w:val="0"/>
          <w:bCs w:val="0"/>
          <w:color w:val="auto"/>
          <w:sz w:val="32"/>
          <w:szCs w:val="32"/>
          <w:highlight w:val="none"/>
        </w:rPr>
        <w:t>，纳入电力中长期</w:t>
      </w:r>
      <w:r>
        <w:rPr>
          <w:rFonts w:hint="eastAsia" w:ascii="Times New Roman" w:hAnsi="Times New Roman" w:eastAsia="方正仿宋_GBK" w:cs="Times New Roman"/>
          <w:b w:val="0"/>
          <w:bCs w:val="0"/>
          <w:color w:val="auto"/>
          <w:sz w:val="32"/>
          <w:szCs w:val="32"/>
          <w:highlight w:val="none"/>
          <w:lang w:val="en-US" w:eastAsia="zh-CN"/>
        </w:rPr>
        <w:t>市场</w:t>
      </w:r>
      <w:r>
        <w:rPr>
          <w:rFonts w:hint="eastAsia" w:ascii="Times New Roman" w:hAnsi="Times New Roman" w:eastAsia="方正仿宋_GBK" w:cs="Times New Roman"/>
          <w:b w:val="0"/>
          <w:bCs w:val="0"/>
          <w:color w:val="auto"/>
          <w:sz w:val="32"/>
          <w:szCs w:val="32"/>
          <w:highlight w:val="none"/>
        </w:rPr>
        <w:t>管理范畴，其执行和结算均须遵守本规则。</w:t>
      </w:r>
    </w:p>
    <w:p w14:paraId="21B6DCC0">
      <w:pPr>
        <w:keepNext w:val="0"/>
        <w:keepLines w:val="0"/>
        <w:widowControl/>
        <w:numPr>
          <w:ilvl w:val="0"/>
          <w:numId w:val="4"/>
        </w:numPr>
        <w:suppressLineNumbers w:val="0"/>
        <w:adjustRightInd w:val="0"/>
        <w:snapToGrid w:val="0"/>
        <w:spacing w:line="588" w:lineRule="exact"/>
        <w:ind w:firstLine="64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kern w:val="2"/>
          <w:sz w:val="32"/>
          <w:szCs w:val="32"/>
          <w:highlight w:val="none"/>
        </w:rPr>
        <w:t>本</w:t>
      </w:r>
      <w:r>
        <w:rPr>
          <w:rFonts w:hint="eastAsia" w:ascii="Times New Roman" w:hAnsi="Times New Roman" w:eastAsia="方正仿宋_GBK" w:cs="Times New Roman"/>
          <w:b w:val="0"/>
          <w:bCs w:val="0"/>
          <w:i w:val="0"/>
          <w:iCs w:val="0"/>
          <w:caps w:val="0"/>
          <w:color w:val="auto"/>
          <w:spacing w:val="0"/>
          <w:sz w:val="32"/>
          <w:szCs w:val="32"/>
          <w:highlight w:val="none"/>
          <w:shd w:val="clear" w:fill="auto"/>
        </w:rPr>
        <w:t>规则所称</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电力</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CN"/>
        </w:rPr>
        <w:t>市场成员包括</w:t>
      </w:r>
      <w:r>
        <w:rPr>
          <w:rFonts w:hint="eastAsia" w:ascii="Times New Roman" w:hAnsi="Times New Roman" w:eastAsia="方正仿宋_GBK" w:cs="Times New Roman"/>
          <w:b w:val="0"/>
          <w:bCs w:val="0"/>
          <w:color w:val="auto"/>
          <w:sz w:val="32"/>
          <w:szCs w:val="32"/>
          <w:highlight w:val="none"/>
          <w:shd w:val="clear" w:fill="auto"/>
          <w:lang w:val="en-US" w:eastAsia="zh-CN"/>
        </w:rPr>
        <w:t>经营主体</w:t>
      </w:r>
      <w:r>
        <w:rPr>
          <w:rFonts w:hint="eastAsia" w:ascii="Times New Roman" w:hAnsi="Times New Roman" w:eastAsia="方正仿宋_GBK" w:cs="Times New Roman"/>
          <w:b w:val="0"/>
          <w:bCs w:val="0"/>
          <w:color w:val="auto"/>
          <w:sz w:val="32"/>
          <w:szCs w:val="32"/>
          <w:highlight w:val="none"/>
          <w:shd w:val="clear" w:fill="auto"/>
        </w:rPr>
        <w:t>、</w:t>
      </w:r>
      <w:r>
        <w:rPr>
          <w:rFonts w:hint="eastAsia" w:ascii="Times New Roman" w:hAnsi="Times New Roman" w:eastAsia="方正仿宋_GBK" w:cs="Times New Roman"/>
          <w:b w:val="0"/>
          <w:bCs w:val="0"/>
          <w:color w:val="auto"/>
          <w:sz w:val="32"/>
          <w:szCs w:val="32"/>
          <w:highlight w:val="none"/>
          <w:shd w:val="clear" w:fill="auto"/>
          <w:lang w:val="en-US" w:eastAsia="zh-Hans"/>
        </w:rPr>
        <w:t>电力</w:t>
      </w:r>
      <w:r>
        <w:rPr>
          <w:rFonts w:hint="eastAsia" w:ascii="Times New Roman" w:hAnsi="Times New Roman" w:eastAsia="方正仿宋_GBK" w:cs="Times New Roman"/>
          <w:b w:val="0"/>
          <w:bCs w:val="0"/>
          <w:color w:val="auto"/>
          <w:sz w:val="32"/>
          <w:szCs w:val="32"/>
          <w:highlight w:val="none"/>
          <w:shd w:val="clear" w:fill="auto"/>
          <w:lang w:val="en-US" w:eastAsia="zh-CN"/>
        </w:rPr>
        <w:t>市场运营机构和提供输配电服务的电网企业。其中，经营主体包括</w:t>
      </w:r>
      <w:r>
        <w:rPr>
          <w:rFonts w:hint="eastAsia" w:ascii="Times New Roman" w:hAnsi="Times New Roman" w:eastAsia="方正仿宋_GBK" w:cs="Times New Roman"/>
          <w:b w:val="0"/>
          <w:bCs w:val="0"/>
          <w:color w:val="auto"/>
          <w:sz w:val="32"/>
          <w:szCs w:val="32"/>
          <w:highlight w:val="none"/>
          <w:shd w:val="clear" w:fill="auto"/>
        </w:rPr>
        <w:t>参与</w:t>
      </w:r>
      <w:r>
        <w:rPr>
          <w:rFonts w:hint="eastAsia" w:ascii="Times New Roman" w:hAnsi="Times New Roman" w:eastAsia="方正仿宋_GBK" w:cs="Times New Roman"/>
          <w:b w:val="0"/>
          <w:bCs w:val="0"/>
          <w:color w:val="auto"/>
          <w:sz w:val="32"/>
          <w:szCs w:val="32"/>
          <w:highlight w:val="none"/>
          <w:shd w:val="clear" w:fill="auto"/>
          <w:lang w:eastAsia="zh-CN"/>
        </w:rPr>
        <w:t>电力中长期市场</w:t>
      </w:r>
      <w:r>
        <w:rPr>
          <w:rFonts w:hint="eastAsia" w:ascii="Times New Roman" w:hAnsi="Times New Roman" w:eastAsia="方正仿宋_GBK" w:cs="Times New Roman"/>
          <w:b w:val="0"/>
          <w:bCs w:val="0"/>
          <w:color w:val="auto"/>
          <w:sz w:val="32"/>
          <w:szCs w:val="32"/>
          <w:highlight w:val="none"/>
          <w:shd w:val="clear" w:fill="auto"/>
          <w:lang w:val="en-US" w:eastAsia="zh-CN"/>
        </w:rPr>
        <w:t>的</w:t>
      </w:r>
      <w:r>
        <w:rPr>
          <w:rFonts w:hint="eastAsia" w:ascii="Times New Roman" w:hAnsi="Times New Roman" w:eastAsia="方正仿宋_GBK" w:cs="Times New Roman"/>
          <w:b w:val="0"/>
          <w:bCs w:val="0"/>
          <w:i w:val="0"/>
          <w:iCs w:val="0"/>
          <w:caps w:val="0"/>
          <w:color w:val="auto"/>
          <w:spacing w:val="0"/>
          <w:sz w:val="32"/>
          <w:szCs w:val="32"/>
          <w:highlight w:val="none"/>
          <w:shd w:val="clear" w:fill="auto"/>
        </w:rPr>
        <w:t>发电企业、售电公司、电力用户和新型</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经营</w:t>
      </w:r>
      <w:r>
        <w:rPr>
          <w:rFonts w:hint="eastAsia" w:ascii="Times New Roman" w:hAnsi="Times New Roman" w:eastAsia="方正仿宋_GBK" w:cs="Times New Roman"/>
          <w:b w:val="0"/>
          <w:bCs w:val="0"/>
          <w:i w:val="0"/>
          <w:iCs w:val="0"/>
          <w:caps w:val="0"/>
          <w:color w:val="auto"/>
          <w:spacing w:val="0"/>
          <w:sz w:val="32"/>
          <w:szCs w:val="32"/>
          <w:highlight w:val="none"/>
          <w:shd w:val="clear" w:fill="auto"/>
        </w:rPr>
        <w:t>主体</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eastAsia="zh-CN"/>
        </w:rPr>
        <w:t>（</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含储能企业</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eastAsia="zh-Hans"/>
        </w:rPr>
        <w:t>、</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虚拟电厂</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eastAsia="zh-Hans"/>
        </w:rPr>
        <w:t>、</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负荷聚合商</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eastAsia="zh-Hans"/>
        </w:rPr>
        <w:t>、</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智能微电网等</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eastAsia="zh-Hans"/>
        </w:rPr>
        <w:t>）</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eastAsia="zh-CN"/>
        </w:rPr>
        <w:t>；</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Hans"/>
        </w:rPr>
        <w:t>电力</w:t>
      </w:r>
      <w:r>
        <w:rPr>
          <w:rFonts w:hint="eastAsia" w:ascii="Times New Roman" w:hAnsi="Times New Roman" w:eastAsia="方正仿宋_GBK" w:cs="Times New Roman"/>
          <w:b w:val="0"/>
          <w:bCs w:val="0"/>
          <w:color w:val="auto"/>
          <w:sz w:val="32"/>
          <w:szCs w:val="32"/>
          <w:highlight w:val="none"/>
          <w:shd w:val="clear" w:fill="auto"/>
          <w:lang w:val="en-US" w:eastAsia="zh-CN"/>
        </w:rPr>
        <w:t>市场运营机构包括电力交易机构、电力调度机构。</w:t>
      </w:r>
    </w:p>
    <w:p w14:paraId="1FCA5CCF">
      <w:pPr>
        <w:numPr>
          <w:ilvl w:val="0"/>
          <w:numId w:val="4"/>
        </w:numPr>
        <w:adjustRightInd w:val="0"/>
        <w:snapToGrid w:val="0"/>
        <w:spacing w:line="588" w:lineRule="exact"/>
        <w:ind w:left="-13" w:leftChars="0" w:firstLine="640" w:firstLineChars="0"/>
        <w:rPr>
          <w:rFonts w:hint="eastAsia" w:ascii="Times New Roman" w:hAnsi="Times New Roman" w:cs="Times New Roman"/>
          <w:b w:val="0"/>
          <w:bCs w:val="0"/>
          <w:color w:val="auto"/>
          <w:highlight w:val="none"/>
        </w:rPr>
      </w:pPr>
      <w:r>
        <w:rPr>
          <w:rFonts w:hint="eastAsia" w:ascii="Times New Roman" w:hAnsi="Times New Roman" w:eastAsia="方正仿宋_GBK" w:cs="Times New Roman"/>
          <w:b w:val="0"/>
          <w:bCs w:val="0"/>
          <w:color w:val="auto"/>
          <w:kern w:val="2"/>
          <w:sz w:val="32"/>
          <w:szCs w:val="32"/>
          <w:highlight w:val="none"/>
        </w:rPr>
        <w:t>电力</w:t>
      </w:r>
      <w:r>
        <w:rPr>
          <w:rFonts w:hint="eastAsia" w:ascii="Times New Roman" w:hAnsi="Times New Roman" w:eastAsia="方正仿宋_GBK" w:cs="Times New Roman"/>
          <w:b w:val="0"/>
          <w:bCs w:val="0"/>
          <w:color w:val="auto"/>
          <w:sz w:val="32"/>
          <w:szCs w:val="32"/>
          <w:highlight w:val="none"/>
        </w:rPr>
        <w:t>市场成员应当严格遵守市场规则，自觉自律，签订</w:t>
      </w:r>
      <w:r>
        <w:rPr>
          <w:rFonts w:hint="eastAsia" w:ascii="Times New Roman" w:hAnsi="Times New Roman" w:eastAsia="方正仿宋_GBK" w:cs="Times New Roman"/>
          <w:b w:val="0"/>
          <w:bCs w:val="0"/>
          <w:color w:val="auto"/>
          <w:sz w:val="32"/>
          <w:szCs w:val="32"/>
          <w:highlight w:val="none"/>
          <w:lang w:eastAsia="zh-CN"/>
        </w:rPr>
        <w:t>电力中长期交易</w:t>
      </w:r>
      <w:r>
        <w:rPr>
          <w:rFonts w:hint="eastAsia" w:ascii="Times New Roman" w:hAnsi="Times New Roman" w:eastAsia="方正仿宋_GBK" w:cs="Times New Roman"/>
          <w:b w:val="0"/>
          <w:bCs w:val="0"/>
          <w:color w:val="auto"/>
          <w:sz w:val="32"/>
          <w:szCs w:val="32"/>
          <w:highlight w:val="none"/>
        </w:rPr>
        <w:t>合同要以稳定市场预期、防范市场风险、保障市场供需为目标，不得操纵市场价格、损害其他</w:t>
      </w:r>
      <w:r>
        <w:rPr>
          <w:rFonts w:hint="eastAsia" w:ascii="Times New Roman" w:hAnsi="Times New Roman" w:eastAsia="方正仿宋_GBK" w:cs="Times New Roman"/>
          <w:b w:val="0"/>
          <w:bCs w:val="0"/>
          <w:color w:val="auto"/>
          <w:sz w:val="32"/>
          <w:szCs w:val="32"/>
          <w:highlight w:val="none"/>
          <w:lang w:eastAsia="zh"/>
        </w:rPr>
        <w:t>市场成员</w:t>
      </w:r>
      <w:r>
        <w:rPr>
          <w:rFonts w:hint="eastAsia" w:ascii="Times New Roman" w:hAnsi="Times New Roman" w:eastAsia="方正仿宋_GBK" w:cs="Times New Roman"/>
          <w:b w:val="0"/>
          <w:bCs w:val="0"/>
          <w:color w:val="auto"/>
          <w:sz w:val="32"/>
          <w:szCs w:val="32"/>
          <w:highlight w:val="none"/>
        </w:rPr>
        <w:t>的合法权益。</w:t>
      </w:r>
    </w:p>
    <w:p w14:paraId="079F1F5B">
      <w:pPr>
        <w:numPr>
          <w:ilvl w:val="-1"/>
          <w:numId w:val="0"/>
        </w:numPr>
        <w:adjustRightInd w:val="0"/>
        <w:snapToGrid w:val="0"/>
        <w:spacing w:line="588" w:lineRule="exact"/>
        <w:ind w:left="627" w:leftChars="0" w:firstLine="0" w:firstLineChars="0"/>
        <w:rPr>
          <w:rFonts w:hint="eastAsia" w:ascii="Times New Roman" w:hAnsi="Times New Roman" w:cs="Times New Roman"/>
          <w:b w:val="0"/>
          <w:bCs w:val="0"/>
          <w:color w:val="auto"/>
          <w:highlight w:val="none"/>
        </w:rPr>
      </w:pPr>
      <w:r>
        <w:rPr>
          <w:rFonts w:hint="eastAsia" w:ascii="Times New Roman" w:hAnsi="Times New Roman" w:eastAsia="方正仿宋_GBK" w:cs="Times New Roman"/>
          <w:b w:val="0"/>
          <w:bCs w:val="0"/>
          <w:color w:val="auto"/>
          <w:sz w:val="32"/>
          <w:szCs w:val="32"/>
          <w:highlight w:val="none"/>
        </w:rPr>
        <w:t>任何单位和个人不得</w:t>
      </w:r>
      <w:r>
        <w:rPr>
          <w:rFonts w:hint="eastAsia" w:ascii="Times New Roman" w:hAnsi="Times New Roman" w:eastAsia="方正仿宋_GBK" w:cs="Times New Roman"/>
          <w:b w:val="0"/>
          <w:bCs w:val="0"/>
          <w:strike w:val="0"/>
          <w:color w:val="auto"/>
          <w:sz w:val="32"/>
          <w:szCs w:val="32"/>
          <w:highlight w:val="none"/>
          <w:lang w:eastAsia="zh-CN"/>
        </w:rPr>
        <w:t>不当</w:t>
      </w:r>
      <w:r>
        <w:rPr>
          <w:rFonts w:hint="eastAsia" w:ascii="Times New Roman" w:hAnsi="Times New Roman" w:eastAsia="方正仿宋_GBK" w:cs="Times New Roman"/>
          <w:b w:val="0"/>
          <w:bCs w:val="0"/>
          <w:color w:val="auto"/>
          <w:sz w:val="32"/>
          <w:szCs w:val="32"/>
          <w:highlight w:val="none"/>
        </w:rPr>
        <w:t>干预市场运行。</w:t>
      </w:r>
    </w:p>
    <w:p w14:paraId="5FF4464D">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rPr>
      </w:pPr>
      <w:bookmarkStart w:id="14" w:name="_Toc1125834735"/>
      <w:bookmarkStart w:id="15" w:name="_Toc16142"/>
      <w:bookmarkStart w:id="16" w:name="_Toc1806620534"/>
      <w:bookmarkStart w:id="17" w:name="_Toc6628"/>
      <w:bookmarkStart w:id="18" w:name="_Toc498040153"/>
      <w:bookmarkStart w:id="19" w:name="_Toc27125"/>
      <w:bookmarkStart w:id="20" w:name="_Toc31329"/>
      <w:bookmarkStart w:id="21" w:name="_Toc23021"/>
      <w:bookmarkStart w:id="22" w:name="_Toc26145"/>
      <w:bookmarkStart w:id="23" w:name="_Toc31547"/>
      <w:bookmarkStart w:id="24" w:name="_Toc23928"/>
      <w:bookmarkStart w:id="25" w:name="_Toc1713070209"/>
      <w:bookmarkStart w:id="26" w:name="_Toc25186"/>
      <w:bookmarkStart w:id="27" w:name="_Toc8537"/>
      <w:r>
        <w:rPr>
          <w:rFonts w:hint="eastAsia" w:ascii="Times New Roman" w:hAnsi="Times New Roman" w:eastAsia="黑体" w:cs="Times New Roman"/>
          <w:b w:val="0"/>
          <w:bCs w:val="0"/>
          <w:color w:val="auto"/>
          <w:sz w:val="32"/>
          <w:szCs w:val="32"/>
          <w:highlight w:val="none"/>
          <w:lang w:eastAsia="zh"/>
        </w:rPr>
        <w:t xml:space="preserve">第二章 </w:t>
      </w:r>
      <w:r>
        <w:rPr>
          <w:rFonts w:hint="eastAsia" w:ascii="Times New Roman" w:hAnsi="Times New Roman" w:eastAsia="黑体" w:cs="Times New Roman"/>
          <w:b w:val="0"/>
          <w:bCs w:val="0"/>
          <w:color w:val="auto"/>
          <w:sz w:val="32"/>
          <w:szCs w:val="32"/>
          <w:highlight w:val="none"/>
          <w:lang w:eastAsia="zh-CN"/>
        </w:rPr>
        <w:t>总体要求</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9DFEB37">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统筹推进电力中长期</w:t>
      </w:r>
      <w:r>
        <w:rPr>
          <w:rFonts w:hint="eastAsia" w:ascii="Times New Roman" w:hAnsi="Times New Roman" w:eastAsia="方正仿宋_GBK" w:cs="Times New Roman"/>
          <w:b w:val="0"/>
          <w:bCs w:val="0"/>
          <w:color w:val="auto"/>
          <w:sz w:val="32"/>
          <w:szCs w:val="32"/>
          <w:highlight w:val="none"/>
          <w:lang w:val="en-US" w:eastAsia="zh-CN"/>
        </w:rPr>
        <w:t>市场</w:t>
      </w:r>
      <w:r>
        <w:rPr>
          <w:rFonts w:hint="eastAsia" w:ascii="Times New Roman" w:hAnsi="Times New Roman" w:eastAsia="方正仿宋_GBK" w:cs="Times New Roman"/>
          <w:b w:val="0"/>
          <w:bCs w:val="0"/>
          <w:color w:val="auto"/>
          <w:sz w:val="32"/>
          <w:szCs w:val="32"/>
          <w:highlight w:val="none"/>
        </w:rPr>
        <w:t>、电力现货</w:t>
      </w:r>
      <w:r>
        <w:rPr>
          <w:rFonts w:hint="eastAsia" w:ascii="Times New Roman" w:hAnsi="Times New Roman" w:eastAsia="方正仿宋_GBK" w:cs="Times New Roman"/>
          <w:b w:val="0"/>
          <w:bCs w:val="0"/>
          <w:color w:val="auto"/>
          <w:sz w:val="32"/>
          <w:szCs w:val="32"/>
          <w:highlight w:val="none"/>
          <w:lang w:val="en-US" w:eastAsia="zh-CN"/>
        </w:rPr>
        <w:t>市场</w:t>
      </w:r>
      <w:r>
        <w:rPr>
          <w:rFonts w:hint="eastAsia" w:ascii="Times New Roman" w:hAnsi="Times New Roman" w:eastAsia="方正仿宋_GBK" w:cs="Times New Roman"/>
          <w:b w:val="0"/>
          <w:bCs w:val="0"/>
          <w:color w:val="auto"/>
          <w:sz w:val="32"/>
          <w:szCs w:val="32"/>
          <w:highlight w:val="none"/>
        </w:rPr>
        <w:t>建设，在市场注册、交易时序、市场出清、市场结算等方面做好衔接，充分发挥</w:t>
      </w:r>
      <w:r>
        <w:rPr>
          <w:rFonts w:hint="eastAsia" w:ascii="Times New Roman" w:hAnsi="Times New Roman" w:eastAsia="方正仿宋_GBK" w:cs="Times New Roman"/>
          <w:b w:val="0"/>
          <w:bCs w:val="0"/>
          <w:color w:val="auto"/>
          <w:sz w:val="32"/>
          <w:szCs w:val="32"/>
          <w:highlight w:val="none"/>
          <w:lang w:eastAsia="zh-CN"/>
        </w:rPr>
        <w:t>电力中长期</w:t>
      </w:r>
      <w:r>
        <w:rPr>
          <w:rFonts w:hint="eastAsia" w:ascii="Times New Roman" w:hAnsi="Times New Roman" w:eastAsia="方正仿宋_GBK" w:cs="Times New Roman"/>
          <w:b w:val="0"/>
          <w:bCs w:val="0"/>
          <w:color w:val="auto"/>
          <w:sz w:val="32"/>
          <w:szCs w:val="32"/>
          <w:highlight w:val="none"/>
          <w:lang w:eastAsia="zh-CN"/>
        </w:rPr>
        <w:t>市场</w:t>
      </w:r>
      <w:r>
        <w:rPr>
          <w:rFonts w:hint="eastAsia" w:ascii="Times New Roman" w:hAnsi="Times New Roman" w:eastAsia="方正仿宋_GBK" w:cs="Times New Roman"/>
          <w:b w:val="0"/>
          <w:bCs w:val="0"/>
          <w:color w:val="auto"/>
          <w:sz w:val="32"/>
          <w:szCs w:val="32"/>
          <w:highlight w:val="none"/>
        </w:rPr>
        <w:t>在平衡电力电量长期供需、稳定市场预期的基础作用。</w:t>
      </w:r>
    </w:p>
    <w:p w14:paraId="2493DDBC">
      <w:pPr>
        <w:pageBreakBefore w:val="0"/>
        <w:widowControl/>
        <w:numPr>
          <w:ilvl w:val="0"/>
          <w:numId w:val="4"/>
        </w:numPr>
        <w:kinsoku/>
        <w:wordWrap/>
        <w:overflowPunct/>
        <w:topLinePunct w:val="0"/>
        <w:autoSpaceDN/>
        <w:bidi w:val="0"/>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kern w:val="2"/>
          <w:sz w:val="32"/>
          <w:szCs w:val="32"/>
          <w:highlight w:val="none"/>
        </w:rPr>
      </w:pPr>
      <w:r>
        <w:rPr>
          <w:rFonts w:hint="eastAsia" w:ascii="Times New Roman" w:hAnsi="Times New Roman" w:eastAsia="方正仿宋_GBK" w:cs="Times New Roman"/>
          <w:b w:val="0"/>
          <w:bCs w:val="0"/>
          <w:color w:val="auto"/>
          <w:kern w:val="2"/>
          <w:sz w:val="32"/>
          <w:szCs w:val="32"/>
          <w:highlight w:val="none"/>
          <w:lang w:val="en-US" w:eastAsia="zh-CN"/>
        </w:rPr>
        <w:t>促进</w:t>
      </w:r>
      <w:r>
        <w:rPr>
          <w:rFonts w:hint="eastAsia" w:ascii="Times New Roman" w:hAnsi="Times New Roman" w:eastAsia="方正仿宋_GBK" w:cs="Times New Roman"/>
          <w:b w:val="0"/>
          <w:bCs w:val="0"/>
          <w:color w:val="auto"/>
          <w:kern w:val="2"/>
          <w:sz w:val="32"/>
          <w:szCs w:val="32"/>
          <w:highlight w:val="none"/>
        </w:rPr>
        <w:t>跨省跨区</w:t>
      </w:r>
      <w:r>
        <w:rPr>
          <w:rFonts w:hint="eastAsia" w:ascii="Times New Roman" w:hAnsi="Times New Roman" w:eastAsia="方正仿宋_GBK" w:cs="Times New Roman"/>
          <w:b w:val="0"/>
          <w:bCs w:val="0"/>
          <w:color w:val="auto"/>
          <w:kern w:val="2"/>
          <w:sz w:val="32"/>
          <w:szCs w:val="32"/>
          <w:highlight w:val="none"/>
          <w:lang w:val="en-US" w:eastAsia="zh-CN"/>
        </w:rPr>
        <w:t>电力中长期交易（以下简称“</w:t>
      </w:r>
      <w:r>
        <w:rPr>
          <w:rFonts w:hint="eastAsia" w:ascii="Times New Roman" w:hAnsi="Times New Roman" w:eastAsia="方正仿宋_GBK" w:cs="Times New Roman"/>
          <w:b w:val="0"/>
          <w:bCs w:val="0"/>
          <w:color w:val="auto"/>
          <w:kern w:val="2"/>
          <w:sz w:val="32"/>
          <w:szCs w:val="32"/>
          <w:highlight w:val="none"/>
        </w:rPr>
        <w:t>跨省跨区</w:t>
      </w:r>
      <w:r>
        <w:rPr>
          <w:rFonts w:hint="eastAsia" w:ascii="Times New Roman" w:hAnsi="Times New Roman" w:eastAsia="方正仿宋_GBK" w:cs="Times New Roman"/>
          <w:b w:val="0"/>
          <w:bCs w:val="0"/>
          <w:color w:val="auto"/>
          <w:kern w:val="2"/>
          <w:sz w:val="32"/>
          <w:szCs w:val="32"/>
          <w:highlight w:val="none"/>
          <w:lang w:val="en-US" w:eastAsia="zh-CN"/>
        </w:rPr>
        <w:t>交易”）与省（区、市）电力中长期交易（以下简称“省内交易”）相互耦合</w:t>
      </w:r>
      <w:r>
        <w:rPr>
          <w:rFonts w:hint="eastAsia" w:ascii="Times New Roman" w:hAnsi="Times New Roman" w:eastAsia="方正仿宋_GBK" w:cs="Times New Roman"/>
          <w:b w:val="0"/>
          <w:bCs w:val="0"/>
          <w:color w:val="auto"/>
          <w:kern w:val="2"/>
          <w:sz w:val="32"/>
          <w:szCs w:val="32"/>
          <w:highlight w:val="none"/>
          <w:lang w:eastAsia="zh-CN"/>
        </w:rPr>
        <w:t>、</w:t>
      </w:r>
      <w:r>
        <w:rPr>
          <w:rFonts w:hint="eastAsia" w:ascii="Times New Roman" w:hAnsi="Times New Roman" w:eastAsia="方正仿宋_GBK" w:cs="Times New Roman"/>
          <w:b w:val="0"/>
          <w:bCs w:val="0"/>
          <w:color w:val="auto"/>
          <w:kern w:val="2"/>
          <w:sz w:val="32"/>
          <w:szCs w:val="32"/>
          <w:highlight w:val="none"/>
          <w:lang w:val="en-US" w:eastAsia="zh-CN"/>
        </w:rPr>
        <w:t>有序衔接</w:t>
      </w:r>
      <w:r>
        <w:rPr>
          <w:rFonts w:hint="eastAsia" w:ascii="Times New Roman" w:hAnsi="Times New Roman" w:eastAsia="方正仿宋_GBK" w:cs="Times New Roman"/>
          <w:b w:val="0"/>
          <w:bCs w:val="0"/>
          <w:color w:val="auto"/>
          <w:kern w:val="2"/>
          <w:sz w:val="32"/>
          <w:szCs w:val="32"/>
          <w:highlight w:val="none"/>
          <w:lang w:eastAsia="zh-CN"/>
        </w:rPr>
        <w:t>。</w:t>
      </w:r>
      <w:r>
        <w:rPr>
          <w:rFonts w:hint="eastAsia" w:ascii="Times New Roman" w:hAnsi="Times New Roman" w:eastAsia="方正仿宋_GBK" w:cs="Times New Roman"/>
          <w:b w:val="0"/>
          <w:bCs w:val="0"/>
          <w:i w:val="0"/>
          <w:iCs w:val="0"/>
          <w:caps w:val="0"/>
          <w:color w:val="auto"/>
          <w:spacing w:val="0"/>
          <w:kern w:val="2"/>
          <w:sz w:val="32"/>
          <w:szCs w:val="32"/>
          <w:highlight w:val="none"/>
          <w:u w:val="none"/>
          <w:shd w:val="clear" w:fill="auto"/>
          <w:lang w:val="en-US" w:eastAsia="zh-CN" w:bidi="ar-SA"/>
        </w:rPr>
        <w:t>加强跨省跨区交易与省内交易在经济责任、价格形成机制等方面的动态衔接。</w:t>
      </w:r>
    </w:p>
    <w:p w14:paraId="6076477E">
      <w:pPr>
        <w:pageBreakBefore w:val="0"/>
        <w:widowControl/>
        <w:numPr>
          <w:ilvl w:val="-1"/>
          <w:numId w:val="0"/>
        </w:numPr>
        <w:kinsoku/>
        <w:wordWrap/>
        <w:overflowPunct/>
        <w:topLinePunct w:val="0"/>
        <w:autoSpaceDN/>
        <w:bidi w:val="0"/>
        <w:adjustRightInd w:val="0"/>
        <w:snapToGrid w:val="0"/>
        <w:spacing w:line="588" w:lineRule="exact"/>
        <w:ind w:left="0" w:firstLine="640" w:firstLineChars="200"/>
        <w:jc w:val="both"/>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推动</w:t>
      </w:r>
      <w:r>
        <w:rPr>
          <w:rFonts w:hint="eastAsia" w:ascii="Times New Roman" w:hAnsi="Times New Roman" w:eastAsia="方正仿宋_GBK" w:cs="Times New Roman"/>
          <w:b w:val="0"/>
          <w:bCs w:val="0"/>
          <w:color w:val="auto"/>
          <w:sz w:val="32"/>
          <w:szCs w:val="32"/>
          <w:highlight w:val="none"/>
        </w:rPr>
        <w:t>跨电网经营区常态化交易，促进电力市场互联互通</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鼓励区域内省间</w:t>
      </w:r>
      <w:r>
        <w:rPr>
          <w:rFonts w:hint="eastAsia" w:ascii="Times New Roman" w:hAnsi="Times New Roman" w:eastAsia="方正仿宋_GBK" w:cs="Times New Roman"/>
          <w:b w:val="0"/>
          <w:bCs w:val="0"/>
          <w:color w:val="auto"/>
          <w:kern w:val="2"/>
          <w:sz w:val="32"/>
          <w:szCs w:val="32"/>
          <w:highlight w:val="none"/>
          <w:lang w:val="en-US" w:eastAsia="zh-CN"/>
        </w:rPr>
        <w:t>交易</w:t>
      </w:r>
      <w:r>
        <w:rPr>
          <w:rFonts w:hint="eastAsia" w:ascii="Times New Roman" w:hAnsi="Times New Roman" w:eastAsia="方正仿宋_GBK" w:cs="Times New Roman"/>
          <w:b w:val="0"/>
          <w:bCs w:val="0"/>
          <w:color w:val="auto"/>
          <w:sz w:val="32"/>
          <w:szCs w:val="32"/>
          <w:highlight w:val="none"/>
          <w:lang w:val="en-US" w:eastAsia="zh-CN"/>
        </w:rPr>
        <w:t>机制创新，协同推进区域电力互济、调节资源灵活共享。</w:t>
      </w:r>
    </w:p>
    <w:p w14:paraId="65FD1F3F">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u w:val="none"/>
          <w:lang w:bidi="ar"/>
        </w:rPr>
      </w:pPr>
      <w:r>
        <w:rPr>
          <w:rFonts w:hint="eastAsia" w:ascii="Times New Roman" w:hAnsi="Times New Roman" w:eastAsia="方正仿宋_GBK" w:cs="Times New Roman"/>
          <w:b w:val="0"/>
          <w:bCs w:val="0"/>
          <w:color w:val="auto"/>
          <w:sz w:val="32"/>
          <w:szCs w:val="32"/>
          <w:highlight w:val="none"/>
          <w:u w:val="none"/>
          <w:lang w:eastAsia="zh-CN" w:bidi="ar"/>
        </w:rPr>
        <w:t>电力中长期</w:t>
      </w:r>
      <w:r>
        <w:rPr>
          <w:rFonts w:hint="eastAsia" w:ascii="Times New Roman" w:hAnsi="Times New Roman" w:eastAsia="方正仿宋_GBK" w:cs="Times New Roman"/>
          <w:b w:val="0"/>
          <w:bCs w:val="0"/>
          <w:color w:val="auto"/>
          <w:sz w:val="32"/>
          <w:szCs w:val="32"/>
          <w:highlight w:val="none"/>
          <w:u w:val="none"/>
          <w:lang w:eastAsia="zh-CN" w:bidi="ar"/>
        </w:rPr>
        <w:t>市场</w:t>
      </w:r>
      <w:r>
        <w:rPr>
          <w:rFonts w:hint="eastAsia" w:ascii="Times New Roman" w:hAnsi="Times New Roman" w:eastAsia="方正仿宋_GBK" w:cs="Times New Roman"/>
          <w:b w:val="0"/>
          <w:bCs w:val="0"/>
          <w:color w:val="auto"/>
          <w:sz w:val="32"/>
          <w:szCs w:val="32"/>
          <w:highlight w:val="none"/>
          <w:u w:val="none"/>
          <w:lang w:bidi="ar"/>
        </w:rPr>
        <w:t>以统一的</w:t>
      </w:r>
      <w:r>
        <w:rPr>
          <w:rFonts w:hint="eastAsia" w:ascii="Times New Roman" w:hAnsi="Times New Roman" w:eastAsia="方正仿宋_GBK" w:cs="Times New Roman"/>
          <w:b w:val="0"/>
          <w:bCs w:val="0"/>
          <w:i w:val="0"/>
          <w:iCs w:val="0"/>
          <w:caps w:val="0"/>
          <w:strike w:val="0"/>
          <w:color w:val="auto"/>
          <w:spacing w:val="0"/>
          <w:kern w:val="2"/>
          <w:sz w:val="32"/>
          <w:szCs w:val="32"/>
          <w:highlight w:val="none"/>
          <w:u w:val="none"/>
          <w:shd w:val="clear" w:fill="auto"/>
          <w:lang w:val="en-US" w:eastAsia="zh-CN" w:bidi="ar-SA"/>
        </w:rPr>
        <w:t>标准</w:t>
      </w:r>
      <w:r>
        <w:rPr>
          <w:rFonts w:hint="eastAsia" w:ascii="Times New Roman" w:hAnsi="Times New Roman" w:eastAsia="方正仿宋_GBK" w:cs="Times New Roman"/>
          <w:b w:val="0"/>
          <w:bCs w:val="0"/>
          <w:color w:val="auto"/>
          <w:sz w:val="32"/>
          <w:szCs w:val="32"/>
          <w:highlight w:val="none"/>
          <w:u w:val="none"/>
          <w:lang w:bidi="ar"/>
        </w:rPr>
        <w:t>进行</w:t>
      </w:r>
      <w:r>
        <w:rPr>
          <w:rFonts w:hint="eastAsia" w:ascii="Times New Roman" w:hAnsi="Times New Roman" w:eastAsia="方正仿宋_GBK" w:cs="Times New Roman"/>
          <w:b w:val="0"/>
          <w:bCs w:val="0"/>
          <w:color w:val="auto"/>
          <w:sz w:val="32"/>
          <w:szCs w:val="32"/>
          <w:highlight w:val="none"/>
          <w:u w:val="none"/>
          <w:lang w:eastAsia="zh-CN" w:bidi="ar"/>
        </w:rPr>
        <w:t>市场</w:t>
      </w:r>
      <w:r>
        <w:rPr>
          <w:rFonts w:hint="eastAsia" w:ascii="Times New Roman" w:hAnsi="Times New Roman" w:eastAsia="方正仿宋_GBK" w:cs="Times New Roman"/>
          <w:b w:val="0"/>
          <w:bCs w:val="0"/>
          <w:color w:val="auto"/>
          <w:sz w:val="32"/>
          <w:szCs w:val="32"/>
          <w:highlight w:val="none"/>
          <w:u w:val="none"/>
          <w:lang w:bidi="ar"/>
        </w:rPr>
        <w:t>注册、交易组织、结算等。其中，</w:t>
      </w:r>
      <w:r>
        <w:rPr>
          <w:rFonts w:hint="eastAsia" w:ascii="Times New Roman" w:hAnsi="Times New Roman" w:eastAsia="方正仿宋_GBK" w:cs="Times New Roman"/>
          <w:b w:val="0"/>
          <w:bCs w:val="0"/>
          <w:color w:val="auto"/>
          <w:sz w:val="32"/>
          <w:szCs w:val="32"/>
          <w:highlight w:val="none"/>
          <w:u w:val="none"/>
          <w:lang w:eastAsia="zh-CN" w:bidi="ar"/>
        </w:rPr>
        <w:t>虚拟电厂等</w:t>
      </w:r>
      <w:r>
        <w:rPr>
          <w:rFonts w:hint="eastAsia" w:ascii="Times New Roman" w:hAnsi="Times New Roman" w:eastAsia="方正仿宋_GBK" w:cs="Times New Roman"/>
          <w:b w:val="0"/>
          <w:bCs w:val="0"/>
          <w:color w:val="auto"/>
          <w:sz w:val="32"/>
          <w:szCs w:val="32"/>
          <w:highlight w:val="none"/>
          <w:u w:val="none"/>
          <w:lang w:bidi="ar"/>
        </w:rPr>
        <w:t>新型经营主体可</w:t>
      </w:r>
      <w:r>
        <w:rPr>
          <w:rFonts w:hint="eastAsia" w:ascii="Times New Roman" w:hAnsi="Times New Roman" w:eastAsia="方正仿宋_GBK" w:cs="Times New Roman"/>
          <w:b w:val="0"/>
          <w:bCs w:val="0"/>
          <w:color w:val="auto"/>
          <w:sz w:val="32"/>
          <w:szCs w:val="32"/>
          <w:highlight w:val="none"/>
          <w:u w:val="none"/>
          <w:lang w:eastAsia="zh-CN" w:bidi="ar"/>
        </w:rPr>
        <w:t>根据国家有关规定</w:t>
      </w:r>
      <w:r>
        <w:rPr>
          <w:rFonts w:hint="eastAsia" w:ascii="Times New Roman" w:hAnsi="Times New Roman" w:eastAsia="方正仿宋_GBK" w:cs="Times New Roman"/>
          <w:b w:val="0"/>
          <w:bCs w:val="0"/>
          <w:color w:val="auto"/>
          <w:sz w:val="32"/>
          <w:szCs w:val="32"/>
          <w:highlight w:val="none"/>
          <w:u w:val="none"/>
          <w:lang w:bidi="ar"/>
        </w:rPr>
        <w:t>聚合各类资源（含电力用户、储能、电动汽车充电设施、分布式电源等），形成聚合单元参与电力交易。</w:t>
      </w:r>
    </w:p>
    <w:p w14:paraId="7B3A380E">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pacing w:val="0"/>
          <w:kern w:val="2"/>
          <w:sz w:val="32"/>
          <w:szCs w:val="32"/>
          <w:highlight w:val="none"/>
          <w:u w:val="none"/>
          <w:lang w:bidi="ar"/>
        </w:rPr>
      </w:pPr>
      <w:r>
        <w:rPr>
          <w:rFonts w:hint="eastAsia" w:ascii="Times New Roman" w:hAnsi="Times New Roman" w:eastAsia="方正仿宋_GBK" w:cs="Times New Roman"/>
          <w:b w:val="0"/>
          <w:bCs w:val="0"/>
          <w:color w:val="auto"/>
          <w:sz w:val="32"/>
          <w:szCs w:val="32"/>
          <w:highlight w:val="none"/>
          <w:u w:val="none"/>
          <w:lang w:bidi="ar"/>
        </w:rPr>
        <w:t>电力市场运营机构、电网企业应在市场注册、交易组织、结算、信息披露等环节做好经营主体档案信息管理</w:t>
      </w:r>
      <w:r>
        <w:rPr>
          <w:rFonts w:hint="eastAsia" w:ascii="Times New Roman" w:hAnsi="Times New Roman" w:eastAsia="方正仿宋_GBK" w:cs="Times New Roman"/>
          <w:b w:val="0"/>
          <w:bCs w:val="0"/>
          <w:color w:val="auto"/>
          <w:sz w:val="32"/>
          <w:szCs w:val="32"/>
          <w:highlight w:val="none"/>
          <w:u w:val="none"/>
          <w:lang w:eastAsia="zh-CN" w:bidi="ar"/>
        </w:rPr>
        <w:t>，</w:t>
      </w:r>
      <w:r>
        <w:rPr>
          <w:rFonts w:hint="eastAsia" w:ascii="Times New Roman" w:hAnsi="Times New Roman" w:eastAsia="方正仿宋_GBK" w:cs="Times New Roman"/>
          <w:b w:val="0"/>
          <w:bCs w:val="0"/>
          <w:color w:val="auto"/>
          <w:sz w:val="32"/>
          <w:szCs w:val="32"/>
          <w:highlight w:val="none"/>
          <w:u w:val="none"/>
          <w:lang w:val="en-US" w:eastAsia="zh-CN" w:bidi="ar"/>
        </w:rPr>
        <w:t>实现信息动态交互</w:t>
      </w:r>
      <w:r>
        <w:rPr>
          <w:rFonts w:hint="eastAsia" w:ascii="Times New Roman" w:hAnsi="Times New Roman" w:eastAsia="方正仿宋_GBK" w:cs="Times New Roman"/>
          <w:b w:val="0"/>
          <w:bCs w:val="0"/>
          <w:color w:val="auto"/>
          <w:sz w:val="32"/>
          <w:szCs w:val="32"/>
          <w:highlight w:val="none"/>
          <w:u w:val="none"/>
          <w:lang w:bidi="ar"/>
        </w:rPr>
        <w:t>。</w:t>
      </w:r>
    </w:p>
    <w:p w14:paraId="56CBA053">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eastAsia="zh-CN"/>
        </w:rPr>
        <w:t>电力中长期</w:t>
      </w:r>
      <w:r>
        <w:rPr>
          <w:rFonts w:hint="eastAsia" w:ascii="Times New Roman" w:hAnsi="Times New Roman" w:eastAsia="方正仿宋_GBK" w:cs="Times New Roman"/>
          <w:b w:val="0"/>
          <w:bCs w:val="0"/>
          <w:color w:val="auto"/>
          <w:sz w:val="32"/>
          <w:szCs w:val="32"/>
          <w:highlight w:val="none"/>
          <w:lang w:eastAsia="zh-CN"/>
        </w:rPr>
        <w:t>市场</w:t>
      </w:r>
      <w:r>
        <w:rPr>
          <w:rFonts w:hint="eastAsia" w:ascii="Times New Roman" w:hAnsi="Times New Roman" w:eastAsia="方正仿宋_GBK" w:cs="Times New Roman"/>
          <w:b w:val="0"/>
          <w:bCs w:val="0"/>
          <w:color w:val="auto"/>
          <w:sz w:val="32"/>
          <w:szCs w:val="32"/>
          <w:highlight w:val="none"/>
        </w:rPr>
        <w:t>技术支持系统</w:t>
      </w:r>
      <w:r>
        <w:rPr>
          <w:rFonts w:hint="eastAsia" w:ascii="方正仿宋_GBK" w:hAnsi="方正仿宋_GBK" w:eastAsia="方正仿宋_GBK" w:cs="方正仿宋_GBK"/>
          <w:b w:val="0"/>
          <w:bCs w:val="0"/>
          <w:color w:val="auto"/>
          <w:kern w:val="2"/>
          <w:sz w:val="32"/>
          <w:szCs w:val="32"/>
          <w:highlight w:val="none"/>
          <w:lang w:val="en-US" w:eastAsia="zh-CN" w:bidi="ar"/>
        </w:rPr>
        <w:t>（以下简称“电力交易平台”）</w:t>
      </w:r>
      <w:r>
        <w:rPr>
          <w:rFonts w:hint="eastAsia" w:ascii="Times New Roman" w:hAnsi="Times New Roman" w:eastAsia="方正仿宋_GBK" w:cs="Times New Roman"/>
          <w:b w:val="0"/>
          <w:bCs w:val="0"/>
          <w:color w:val="auto"/>
          <w:sz w:val="32"/>
          <w:szCs w:val="32"/>
          <w:highlight w:val="none"/>
        </w:rPr>
        <w:t>应包括</w:t>
      </w:r>
      <w:r>
        <w:rPr>
          <w:rFonts w:hint="eastAsia" w:ascii="Times New Roman" w:hAnsi="Times New Roman" w:eastAsia="方正仿宋_GBK" w:cs="Times New Roman"/>
          <w:b w:val="0"/>
          <w:bCs w:val="0"/>
          <w:color w:val="auto"/>
          <w:sz w:val="32"/>
          <w:szCs w:val="32"/>
          <w:highlight w:val="none"/>
          <w:lang w:val="en-US" w:eastAsia="zh-CN"/>
        </w:rPr>
        <w:t>市场注册、</w:t>
      </w:r>
      <w:r>
        <w:rPr>
          <w:rFonts w:hint="eastAsia" w:ascii="Times New Roman" w:hAnsi="Times New Roman" w:eastAsia="方正仿宋_GBK" w:cs="Times New Roman"/>
          <w:b w:val="0"/>
          <w:bCs w:val="0"/>
          <w:color w:val="auto"/>
          <w:sz w:val="32"/>
          <w:szCs w:val="32"/>
          <w:highlight w:val="none"/>
        </w:rPr>
        <w:t>交易申报、市场出清、</w:t>
      </w:r>
      <w:r>
        <w:rPr>
          <w:rFonts w:hint="eastAsia" w:ascii="Times New Roman" w:hAnsi="Times New Roman" w:eastAsia="方正仿宋_GBK" w:cs="Times New Roman"/>
          <w:b w:val="0"/>
          <w:bCs w:val="0"/>
          <w:color w:val="auto"/>
          <w:sz w:val="32"/>
          <w:szCs w:val="32"/>
          <w:highlight w:val="none"/>
          <w:lang w:val="en-US" w:eastAsia="zh-CN"/>
        </w:rPr>
        <w:t>市场</w:t>
      </w:r>
      <w:r>
        <w:rPr>
          <w:rFonts w:hint="eastAsia" w:ascii="Times New Roman" w:hAnsi="Times New Roman" w:eastAsia="方正仿宋_GBK" w:cs="Times New Roman"/>
          <w:b w:val="0"/>
          <w:bCs w:val="0"/>
          <w:color w:val="auto"/>
          <w:sz w:val="32"/>
          <w:szCs w:val="32"/>
          <w:highlight w:val="none"/>
        </w:rPr>
        <w:t>结算、</w:t>
      </w:r>
      <w:r>
        <w:rPr>
          <w:rFonts w:hint="eastAsia" w:ascii="Times New Roman" w:hAnsi="Times New Roman" w:eastAsia="方正仿宋_GBK" w:cs="Times New Roman"/>
          <w:b w:val="0"/>
          <w:bCs w:val="0"/>
          <w:color w:val="auto"/>
          <w:sz w:val="32"/>
          <w:szCs w:val="32"/>
          <w:highlight w:val="none"/>
          <w:lang w:val="en-US" w:eastAsia="zh-CN"/>
        </w:rPr>
        <w:t>市场参数</w:t>
      </w:r>
      <w:r>
        <w:rPr>
          <w:rFonts w:hint="eastAsia" w:ascii="Times New Roman" w:hAnsi="Times New Roman" w:eastAsia="方正仿宋_GBK" w:cs="Times New Roman"/>
          <w:b w:val="0"/>
          <w:bCs w:val="0"/>
          <w:color w:val="auto"/>
          <w:sz w:val="32"/>
          <w:szCs w:val="32"/>
          <w:highlight w:val="none"/>
        </w:rPr>
        <w:t>管理、信息发布、</w:t>
      </w:r>
      <w:r>
        <w:rPr>
          <w:rFonts w:hint="eastAsia" w:ascii="Times New Roman" w:hAnsi="Times New Roman" w:eastAsia="方正仿宋_GBK" w:cs="Times New Roman"/>
          <w:b w:val="0"/>
          <w:bCs w:val="0"/>
          <w:color w:val="auto"/>
          <w:sz w:val="32"/>
          <w:szCs w:val="32"/>
          <w:highlight w:val="none"/>
          <w:lang w:val="en-US" w:eastAsia="zh-Hans"/>
        </w:rPr>
        <w:t>交易</w:t>
      </w:r>
      <w:r>
        <w:rPr>
          <w:rFonts w:hint="eastAsia" w:ascii="Times New Roman" w:hAnsi="Times New Roman" w:eastAsia="方正仿宋_GBK" w:cs="Times New Roman"/>
          <w:b w:val="0"/>
          <w:bCs w:val="0"/>
          <w:color w:val="auto"/>
          <w:sz w:val="32"/>
          <w:szCs w:val="32"/>
          <w:highlight w:val="none"/>
          <w:lang w:val="en-US" w:eastAsia="zh-CN"/>
        </w:rPr>
        <w:t>出清</w:t>
      </w:r>
      <w:r>
        <w:rPr>
          <w:rFonts w:hint="eastAsia" w:ascii="Times New Roman" w:hAnsi="Times New Roman" w:eastAsia="方正仿宋_GBK" w:cs="Times New Roman"/>
          <w:b w:val="0"/>
          <w:bCs w:val="0"/>
          <w:color w:val="auto"/>
          <w:sz w:val="32"/>
          <w:szCs w:val="32"/>
          <w:highlight w:val="none"/>
        </w:rPr>
        <w:t>校核</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市场运营监测</w:t>
      </w:r>
      <w:r>
        <w:rPr>
          <w:rFonts w:hint="eastAsia" w:ascii="Times New Roman" w:hAnsi="Times New Roman" w:eastAsia="方正仿宋_GBK" w:cs="Times New Roman"/>
          <w:b w:val="0"/>
          <w:bCs w:val="0"/>
          <w:color w:val="auto"/>
          <w:sz w:val="32"/>
          <w:szCs w:val="32"/>
          <w:highlight w:val="none"/>
        </w:rPr>
        <w:t>等功能模块，符合相关技术规范和市场规则要求。</w:t>
      </w:r>
      <w:r>
        <w:rPr>
          <w:rFonts w:hint="eastAsia" w:ascii="方正仿宋_GBK" w:hAnsi="方正仿宋_GBK" w:eastAsia="方正仿宋_GBK" w:cs="方正仿宋_GBK"/>
          <w:b w:val="0"/>
          <w:bCs w:val="0"/>
          <w:color w:val="auto"/>
          <w:kern w:val="2"/>
          <w:sz w:val="32"/>
          <w:szCs w:val="32"/>
          <w:highlight w:val="none"/>
          <w:lang w:val="en-US" w:eastAsia="zh-CN" w:bidi="ar"/>
        </w:rPr>
        <w:t>电力交易平台</w:t>
      </w:r>
      <w:r>
        <w:rPr>
          <w:rFonts w:hint="eastAsia" w:ascii="Times New Roman" w:hAnsi="Times New Roman" w:eastAsia="方正仿宋_GBK" w:cs="Times New Roman"/>
          <w:b w:val="0"/>
          <w:bCs w:val="0"/>
          <w:color w:val="auto"/>
          <w:sz w:val="32"/>
          <w:szCs w:val="32"/>
          <w:highlight w:val="none"/>
          <w:lang w:val="en-US" w:eastAsia="zh-CN"/>
        </w:rPr>
        <w:t>与电力调度、营销等系统间应实现</w:t>
      </w:r>
      <w:r>
        <w:rPr>
          <w:rFonts w:hint="eastAsia" w:ascii="Times New Roman" w:hAnsi="Times New Roman" w:eastAsia="方正仿宋_GBK" w:cs="Times New Roman"/>
          <w:b w:val="0"/>
          <w:bCs w:val="0"/>
          <w:i w:val="0"/>
          <w:iCs w:val="0"/>
          <w:caps w:val="0"/>
          <w:color w:val="auto"/>
          <w:spacing w:val="0"/>
          <w:kern w:val="2"/>
          <w:sz w:val="32"/>
          <w:szCs w:val="32"/>
          <w:highlight w:val="none"/>
          <w:u w:val="none"/>
          <w:lang w:val="en-US" w:eastAsia="zh-CN" w:bidi="ar"/>
        </w:rPr>
        <w:t>互联互通</w:t>
      </w:r>
      <w:r>
        <w:rPr>
          <w:rFonts w:hint="eastAsia" w:ascii="Times New Roman" w:hAnsi="Times New Roman" w:eastAsia="方正仿宋_GBK" w:cs="Times New Roman"/>
          <w:b w:val="0"/>
          <w:bCs w:val="0"/>
          <w:color w:val="auto"/>
          <w:sz w:val="32"/>
          <w:szCs w:val="32"/>
          <w:highlight w:val="none"/>
        </w:rPr>
        <w:t>。</w:t>
      </w:r>
    </w:p>
    <w:p w14:paraId="5E6BFDE3">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
        </w:rPr>
      </w:pPr>
      <w:bookmarkStart w:id="28" w:name="_Toc16162"/>
      <w:bookmarkStart w:id="29" w:name="_Toc5166"/>
      <w:bookmarkStart w:id="30" w:name="_Toc520665228"/>
      <w:bookmarkStart w:id="31" w:name="_Toc87"/>
      <w:bookmarkStart w:id="32" w:name="_Toc17172"/>
      <w:bookmarkStart w:id="33" w:name="_Toc11315"/>
      <w:bookmarkStart w:id="34" w:name="_Toc1555586439"/>
      <w:bookmarkStart w:id="35" w:name="_Toc2107443858"/>
      <w:bookmarkStart w:id="36" w:name="_Toc15743"/>
      <w:bookmarkStart w:id="37" w:name="_Toc8465"/>
      <w:bookmarkStart w:id="38" w:name="_Toc23613"/>
      <w:bookmarkStart w:id="39" w:name="_Toc31177"/>
      <w:bookmarkStart w:id="40" w:name="_Toc969982064"/>
      <w:bookmarkStart w:id="41" w:name="_Toc15127"/>
      <w:r>
        <w:rPr>
          <w:rFonts w:hint="eastAsia" w:ascii="Times New Roman" w:hAnsi="Times New Roman" w:eastAsia="黑体" w:cs="Times New Roman"/>
          <w:b w:val="0"/>
          <w:bCs w:val="0"/>
          <w:color w:val="auto"/>
          <w:sz w:val="32"/>
          <w:szCs w:val="32"/>
          <w:highlight w:val="none"/>
          <w:lang w:eastAsia="zh"/>
        </w:rPr>
        <w:t>第三章 市场成员</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FFE9656">
      <w:pPr>
        <w:pStyle w:val="2"/>
        <w:widowControl/>
        <w:adjustRightInd w:val="0"/>
        <w:snapToGrid w:val="0"/>
        <w:spacing w:line="588" w:lineRule="exact"/>
        <w:ind w:firstLineChars="0"/>
        <w:jc w:val="center"/>
        <w:rPr>
          <w:rFonts w:hint="default" w:ascii="Times New Roman" w:hAnsi="Times New Roman" w:eastAsia="方正楷体_GBK" w:cs="Times New Roman"/>
          <w:b w:val="0"/>
          <w:bCs w:val="0"/>
          <w:color w:val="auto"/>
          <w:kern w:val="2"/>
          <w:sz w:val="32"/>
          <w:szCs w:val="32"/>
          <w:highlight w:val="none"/>
          <w:lang w:val="en-US" w:eastAsia="zh-CN"/>
        </w:rPr>
      </w:pPr>
      <w:bookmarkStart w:id="42" w:name="_Toc3384"/>
      <w:bookmarkStart w:id="43" w:name="_Toc16539"/>
      <w:bookmarkStart w:id="44" w:name="_Toc2120705603"/>
      <w:bookmarkStart w:id="45" w:name="_Toc6641"/>
      <w:bookmarkStart w:id="46" w:name="_Toc8831"/>
      <w:bookmarkStart w:id="47" w:name="_Toc1129387656"/>
      <w:bookmarkStart w:id="48" w:name="_Toc1767085281"/>
      <w:bookmarkStart w:id="49" w:name="_Toc17633"/>
      <w:bookmarkStart w:id="50" w:name="_Toc21563"/>
      <w:bookmarkStart w:id="51" w:name="_Toc13362"/>
      <w:bookmarkStart w:id="52" w:name="_Toc8431"/>
      <w:bookmarkStart w:id="53" w:name="_Toc578150843"/>
      <w:bookmarkStart w:id="54" w:name="_Toc6933"/>
      <w:bookmarkStart w:id="55" w:name="_Toc9907"/>
      <w:r>
        <w:rPr>
          <w:rFonts w:hint="eastAsia" w:ascii="Times New Roman" w:hAnsi="Times New Roman" w:eastAsia="方正楷体_GBK" w:cs="Times New Roman"/>
          <w:b w:val="0"/>
          <w:bCs w:val="0"/>
          <w:color w:val="auto"/>
          <w:kern w:val="2"/>
          <w:sz w:val="32"/>
          <w:szCs w:val="32"/>
          <w:highlight w:val="none"/>
        </w:rPr>
        <w:t xml:space="preserve">第一节 </w:t>
      </w:r>
      <w:r>
        <w:rPr>
          <w:rFonts w:hint="eastAsia" w:ascii="Times New Roman" w:hAnsi="Times New Roman" w:eastAsia="方正楷体_GBK" w:cs="Times New Roman"/>
          <w:b w:val="0"/>
          <w:bCs w:val="0"/>
          <w:color w:val="auto"/>
          <w:kern w:val="2"/>
          <w:sz w:val="32"/>
          <w:szCs w:val="32"/>
          <w:highlight w:val="none"/>
          <w:lang w:val="en-US" w:eastAsia="zh-CN"/>
        </w:rPr>
        <w:t>市场成员</w:t>
      </w:r>
      <w:r>
        <w:rPr>
          <w:rFonts w:hint="eastAsia" w:ascii="Times New Roman" w:hAnsi="Times New Roman" w:eastAsia="方正楷体_GBK" w:cs="Times New Roman"/>
          <w:b w:val="0"/>
          <w:bCs w:val="0"/>
          <w:color w:val="auto"/>
          <w:kern w:val="2"/>
          <w:sz w:val="32"/>
          <w:szCs w:val="32"/>
          <w:highlight w:val="none"/>
        </w:rPr>
        <w:t>权利</w:t>
      </w:r>
      <w:bookmarkEnd w:id="42"/>
      <w:bookmarkEnd w:id="43"/>
      <w:bookmarkEnd w:id="44"/>
      <w:bookmarkEnd w:id="45"/>
      <w:bookmarkEnd w:id="46"/>
      <w:bookmarkEnd w:id="47"/>
      <w:bookmarkEnd w:id="48"/>
      <w:bookmarkEnd w:id="49"/>
    </w:p>
    <w:p w14:paraId="10D23F0F">
      <w:pPr>
        <w:pageBreakBefore w:val="0"/>
        <w:numPr>
          <w:ilvl w:val="0"/>
          <w:numId w:val="4"/>
        </w:numPr>
        <w:kinsoku/>
        <w:wordWrap/>
        <w:overflowPunct/>
        <w:topLinePunct w:val="0"/>
        <w:autoSpaceDN/>
        <w:bidi w:val="0"/>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发电</w:t>
      </w:r>
      <w:r>
        <w:rPr>
          <w:rFonts w:hint="eastAsia" w:ascii="Times New Roman" w:hAnsi="Times New Roman" w:eastAsia="方正仿宋_GBK" w:cs="Times New Roman"/>
          <w:b w:val="0"/>
          <w:bCs w:val="0"/>
          <w:color w:val="auto"/>
          <w:kern w:val="0"/>
          <w:sz w:val="32"/>
          <w:szCs w:val="32"/>
          <w:highlight w:val="none"/>
        </w:rPr>
        <w:t>企业的权利主要包括：</w:t>
      </w:r>
    </w:p>
    <w:p w14:paraId="4FB6769D">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（一）获得</w:t>
      </w:r>
      <w:r>
        <w:rPr>
          <w:rFonts w:hint="eastAsia" w:ascii="Times New Roman" w:hAnsi="Times New Roman" w:eastAsia="方正仿宋_GBK" w:cs="Times New Roman"/>
          <w:b w:val="0"/>
          <w:bCs w:val="0"/>
          <w:color w:val="auto"/>
          <w:kern w:val="0"/>
          <w:sz w:val="32"/>
          <w:szCs w:val="32"/>
          <w:highlight w:val="none"/>
          <w:lang w:eastAsia="zh-CN"/>
        </w:rPr>
        <w:t>电力市场注册、交易、计量结算、信息披露等服务；</w:t>
      </w:r>
    </w:p>
    <w:p w14:paraId="3D9CD87C">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（二）获得公平的输配电服务和电网接入服务</w:t>
      </w:r>
      <w:r>
        <w:rPr>
          <w:rFonts w:hint="eastAsia" w:ascii="Times New Roman" w:hAnsi="Times New Roman" w:eastAsia="方正仿宋_GBK" w:cs="Times New Roman"/>
          <w:b w:val="0"/>
          <w:bCs w:val="0"/>
          <w:color w:val="auto"/>
          <w:kern w:val="0"/>
          <w:sz w:val="32"/>
          <w:szCs w:val="32"/>
          <w:highlight w:val="none"/>
          <w:lang w:eastAsia="zh-CN"/>
        </w:rPr>
        <w:t>；</w:t>
      </w:r>
    </w:p>
    <w:p w14:paraId="53BD3CAD">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color w:val="auto"/>
          <w:kern w:val="0"/>
          <w:sz w:val="32"/>
          <w:szCs w:val="32"/>
          <w:highlight w:val="none"/>
          <w:lang w:eastAsia="zh-CN"/>
        </w:rPr>
        <w:t>；</w:t>
      </w:r>
    </w:p>
    <w:p w14:paraId="2A42303C">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法律法规规定的其他权利</w:t>
      </w:r>
      <w:r>
        <w:rPr>
          <w:rFonts w:hint="eastAsia" w:ascii="Times New Roman" w:hAnsi="Times New Roman" w:eastAsia="方正仿宋_GBK" w:cs="Times New Roman"/>
          <w:b w:val="0"/>
          <w:bCs w:val="0"/>
          <w:color w:val="auto"/>
          <w:kern w:val="0"/>
          <w:sz w:val="32"/>
          <w:szCs w:val="32"/>
          <w:highlight w:val="none"/>
          <w:lang w:eastAsia="zh-CN"/>
        </w:rPr>
        <w:t>。</w:t>
      </w:r>
    </w:p>
    <w:p w14:paraId="46A1D637">
      <w:pPr>
        <w:pageBreakBefore w:val="0"/>
        <w:numPr>
          <w:ilvl w:val="0"/>
          <w:numId w:val="4"/>
        </w:numPr>
        <w:kinsoku/>
        <w:wordWrap/>
        <w:overflowPunct/>
        <w:topLinePunct w:val="0"/>
        <w:autoSpaceDN/>
        <w:bidi w:val="0"/>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售</w:t>
      </w:r>
      <w:r>
        <w:rPr>
          <w:rFonts w:hint="eastAsia" w:ascii="Times New Roman" w:hAnsi="Times New Roman" w:eastAsia="方正仿宋_GBK" w:cs="Times New Roman"/>
          <w:b w:val="0"/>
          <w:bCs w:val="0"/>
          <w:color w:val="auto"/>
          <w:kern w:val="0"/>
          <w:sz w:val="32"/>
          <w:szCs w:val="32"/>
          <w:highlight w:val="none"/>
        </w:rPr>
        <w:t xml:space="preserve">电公司的权利主要包括： </w:t>
      </w:r>
    </w:p>
    <w:p w14:paraId="7C96CF53">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（一）获得</w:t>
      </w:r>
      <w:r>
        <w:rPr>
          <w:rFonts w:hint="eastAsia" w:ascii="Times New Roman" w:hAnsi="Times New Roman" w:eastAsia="方正仿宋_GBK" w:cs="Times New Roman"/>
          <w:b w:val="0"/>
          <w:bCs w:val="0"/>
          <w:color w:val="auto"/>
          <w:kern w:val="0"/>
          <w:sz w:val="32"/>
          <w:szCs w:val="32"/>
          <w:highlight w:val="none"/>
          <w:lang w:eastAsia="zh-CN"/>
        </w:rPr>
        <w:t>电力市场注册、交易、计量结算、信息披露等服务；</w:t>
      </w:r>
    </w:p>
    <w:p w14:paraId="7080DE1F">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lang w:eastAsia="zh-CN"/>
        </w:rPr>
        <w:t>）按</w:t>
      </w:r>
      <w:r>
        <w:rPr>
          <w:rFonts w:hint="eastAsia" w:ascii="Times New Roman" w:hAnsi="Times New Roman" w:eastAsia="方正仿宋_GBK" w:cs="Times New Roman"/>
          <w:b w:val="0"/>
          <w:bCs w:val="0"/>
          <w:strike w:val="0"/>
          <w:color w:val="auto"/>
          <w:kern w:val="0"/>
          <w:sz w:val="32"/>
          <w:szCs w:val="32"/>
          <w:highlight w:val="none"/>
          <w:lang w:val="en-US" w:eastAsia="zh-CN"/>
        </w:rPr>
        <w:t>规定</w:t>
      </w:r>
      <w:r>
        <w:rPr>
          <w:rFonts w:hint="eastAsia" w:ascii="Times New Roman" w:hAnsi="Times New Roman" w:eastAsia="方正仿宋_GBK" w:cs="Times New Roman"/>
          <w:b w:val="0"/>
          <w:bCs w:val="0"/>
          <w:color w:val="auto"/>
          <w:kern w:val="0"/>
          <w:sz w:val="32"/>
          <w:szCs w:val="32"/>
          <w:highlight w:val="none"/>
        </w:rPr>
        <w:t>向</w:t>
      </w:r>
      <w:r>
        <w:rPr>
          <w:rFonts w:hint="eastAsia" w:ascii="Times New Roman" w:hAnsi="Times New Roman" w:eastAsia="方正仿宋_GBK" w:cs="Times New Roman"/>
          <w:b w:val="0"/>
          <w:bCs w:val="0"/>
          <w:color w:val="auto"/>
          <w:kern w:val="0"/>
          <w:sz w:val="32"/>
          <w:szCs w:val="32"/>
          <w:highlight w:val="none"/>
          <w:lang w:val="en-US" w:eastAsia="zh-CN"/>
        </w:rPr>
        <w:t>电力</w:t>
      </w:r>
      <w:r>
        <w:rPr>
          <w:rFonts w:hint="eastAsia" w:ascii="Times New Roman" w:hAnsi="Times New Roman" w:eastAsia="方正仿宋_GBK" w:cs="Times New Roman"/>
          <w:b w:val="0"/>
          <w:bCs w:val="0"/>
          <w:color w:val="auto"/>
          <w:kern w:val="0"/>
          <w:sz w:val="32"/>
          <w:szCs w:val="32"/>
          <w:highlight w:val="none"/>
        </w:rPr>
        <w:t>用户提供增值服务</w:t>
      </w:r>
      <w:r>
        <w:rPr>
          <w:rFonts w:hint="eastAsia" w:ascii="Times New Roman" w:hAnsi="Times New Roman" w:eastAsia="方正仿宋_GBK" w:cs="Times New Roman"/>
          <w:b w:val="0"/>
          <w:bCs w:val="0"/>
          <w:color w:val="auto"/>
          <w:kern w:val="0"/>
          <w:sz w:val="32"/>
          <w:szCs w:val="32"/>
          <w:highlight w:val="none"/>
          <w:lang w:eastAsia="zh-CN"/>
        </w:rPr>
        <w:t>；</w:t>
      </w:r>
    </w:p>
    <w:p w14:paraId="36955CE7">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获得市场化交易、输配电服务和签约</w:t>
      </w:r>
      <w:r>
        <w:rPr>
          <w:rFonts w:hint="eastAsia" w:ascii="Times New Roman" w:hAnsi="Times New Roman" w:eastAsia="方正仿宋_GBK" w:cs="Times New Roman"/>
          <w:b w:val="0"/>
          <w:bCs w:val="0"/>
          <w:color w:val="auto"/>
          <w:kern w:val="0"/>
          <w:sz w:val="32"/>
          <w:szCs w:val="32"/>
          <w:highlight w:val="none"/>
          <w:lang w:val="en-US" w:eastAsia="zh-CN"/>
        </w:rPr>
        <w:t>电力用户</w:t>
      </w:r>
      <w:r>
        <w:rPr>
          <w:rFonts w:hint="eastAsia" w:ascii="Times New Roman" w:hAnsi="Times New Roman" w:eastAsia="方正仿宋_GBK" w:cs="Times New Roman"/>
          <w:b w:val="0"/>
          <w:bCs w:val="0"/>
          <w:color w:val="auto"/>
          <w:kern w:val="0"/>
          <w:sz w:val="32"/>
          <w:szCs w:val="32"/>
          <w:highlight w:val="none"/>
        </w:rPr>
        <w:t>合同期内用电负荷等相关信息，根据用户授权掌握其历史用电信息</w:t>
      </w:r>
      <w:r>
        <w:rPr>
          <w:rFonts w:hint="eastAsia" w:ascii="Times New Roman" w:hAnsi="Times New Roman" w:eastAsia="方正仿宋_GBK" w:cs="Times New Roman"/>
          <w:b w:val="0"/>
          <w:bCs w:val="0"/>
          <w:color w:val="auto"/>
          <w:kern w:val="0"/>
          <w:sz w:val="32"/>
          <w:szCs w:val="32"/>
          <w:highlight w:val="none"/>
          <w:lang w:eastAsia="zh-CN"/>
        </w:rPr>
        <w:t>；</w:t>
      </w:r>
    </w:p>
    <w:p w14:paraId="54DE42A1">
      <w:pPr>
        <w:widowControl/>
        <w:adjustRightInd w:val="0"/>
        <w:snapToGrid w:val="0"/>
        <w:spacing w:line="588" w:lineRule="exact"/>
        <w:ind w:firstLine="640" w:firstLineChars="200"/>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color w:val="auto"/>
          <w:kern w:val="0"/>
          <w:sz w:val="32"/>
          <w:szCs w:val="32"/>
          <w:highlight w:val="none"/>
          <w:lang w:eastAsia="zh-CN"/>
        </w:rPr>
        <w:t>；</w:t>
      </w:r>
    </w:p>
    <w:p w14:paraId="27BA7728">
      <w:pPr>
        <w:widowControl/>
        <w:adjustRightInd w:val="0"/>
        <w:snapToGrid w:val="0"/>
        <w:spacing w:line="588" w:lineRule="exact"/>
        <w:ind w:firstLine="640" w:firstLineChars="200"/>
        <w:rPr>
          <w:rFonts w:hint="eastAsia" w:ascii="Times New Roman" w:hAnsi="Times New Roman" w:cs="Times New Roman"/>
          <w:b w:val="0"/>
          <w:bCs w:val="0"/>
          <w:color w:val="auto"/>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法律法规规定的其他权利</w:t>
      </w:r>
      <w:r>
        <w:rPr>
          <w:rFonts w:hint="eastAsia" w:ascii="Times New Roman" w:hAnsi="Times New Roman" w:eastAsia="方正仿宋_GBK" w:cs="Times New Roman"/>
          <w:b w:val="0"/>
          <w:bCs w:val="0"/>
          <w:color w:val="auto"/>
          <w:kern w:val="0"/>
          <w:sz w:val="32"/>
          <w:szCs w:val="32"/>
          <w:highlight w:val="none"/>
          <w:lang w:eastAsia="zh-CN"/>
        </w:rPr>
        <w:t>。</w:t>
      </w:r>
    </w:p>
    <w:p w14:paraId="434F8314">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电力</w:t>
      </w:r>
      <w:r>
        <w:rPr>
          <w:rFonts w:hint="eastAsia" w:ascii="Times New Roman" w:hAnsi="Times New Roman" w:eastAsia="方正仿宋_GBK" w:cs="Times New Roman"/>
          <w:b w:val="0"/>
          <w:bCs w:val="0"/>
          <w:color w:val="auto"/>
          <w:kern w:val="0"/>
          <w:sz w:val="32"/>
          <w:szCs w:val="32"/>
          <w:highlight w:val="none"/>
        </w:rPr>
        <w:t>用户的权利主要包括：</w:t>
      </w:r>
    </w:p>
    <w:p w14:paraId="60DDC369">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（一）获得</w:t>
      </w:r>
      <w:r>
        <w:rPr>
          <w:rFonts w:hint="eastAsia" w:ascii="Times New Roman" w:hAnsi="Times New Roman" w:eastAsia="方正仿宋_GBK" w:cs="Times New Roman"/>
          <w:b w:val="0"/>
          <w:bCs w:val="0"/>
          <w:color w:val="auto"/>
          <w:kern w:val="0"/>
          <w:sz w:val="32"/>
          <w:szCs w:val="32"/>
          <w:highlight w:val="none"/>
          <w:lang w:eastAsia="zh-CN"/>
        </w:rPr>
        <w:t>电力市场注册、交易、计量结算、信息披露等服务，</w:t>
      </w:r>
      <w:r>
        <w:rPr>
          <w:rFonts w:hint="eastAsia" w:ascii="Times New Roman" w:hAnsi="Times New Roman" w:eastAsia="方正仿宋_GBK" w:cs="Times New Roman"/>
          <w:b w:val="0"/>
          <w:bCs w:val="0"/>
          <w:color w:val="auto"/>
          <w:kern w:val="0"/>
          <w:sz w:val="32"/>
          <w:szCs w:val="32"/>
          <w:highlight w:val="none"/>
        </w:rPr>
        <w:t>可由售电公司代理参与市场</w:t>
      </w:r>
      <w:r>
        <w:rPr>
          <w:rFonts w:hint="eastAsia" w:ascii="Times New Roman" w:hAnsi="Times New Roman" w:eastAsia="方正仿宋_GBK" w:cs="Times New Roman"/>
          <w:b w:val="0"/>
          <w:bCs w:val="0"/>
          <w:color w:val="auto"/>
          <w:kern w:val="0"/>
          <w:sz w:val="32"/>
          <w:szCs w:val="32"/>
          <w:highlight w:val="none"/>
          <w:lang w:val="en-US" w:eastAsia="zh-CN"/>
        </w:rPr>
        <w:t>交易</w:t>
      </w:r>
      <w:r>
        <w:rPr>
          <w:rFonts w:hint="eastAsia" w:ascii="Times New Roman" w:hAnsi="Times New Roman" w:eastAsia="方正仿宋_GBK" w:cs="Times New Roman"/>
          <w:b w:val="0"/>
          <w:bCs w:val="0"/>
          <w:color w:val="auto"/>
          <w:kern w:val="0"/>
          <w:sz w:val="32"/>
          <w:szCs w:val="32"/>
          <w:highlight w:val="none"/>
          <w:lang w:eastAsia="zh-CN"/>
        </w:rPr>
        <w:t>；</w:t>
      </w:r>
    </w:p>
    <w:p w14:paraId="438A71AC">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获得公平的输配电服务和电网接入服务</w:t>
      </w:r>
      <w:r>
        <w:rPr>
          <w:rFonts w:hint="eastAsia" w:ascii="Times New Roman" w:hAnsi="Times New Roman" w:eastAsia="方正仿宋_GBK" w:cs="Times New Roman"/>
          <w:b w:val="0"/>
          <w:bCs w:val="0"/>
          <w:color w:val="auto"/>
          <w:kern w:val="0"/>
          <w:sz w:val="32"/>
          <w:szCs w:val="32"/>
          <w:highlight w:val="none"/>
          <w:lang w:eastAsia="zh-CN"/>
        </w:rPr>
        <w:t>；</w:t>
      </w:r>
    </w:p>
    <w:p w14:paraId="22078A84">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color w:val="auto"/>
          <w:kern w:val="0"/>
          <w:sz w:val="32"/>
          <w:szCs w:val="32"/>
          <w:highlight w:val="none"/>
          <w:lang w:eastAsia="zh-CN"/>
        </w:rPr>
        <w:t>；</w:t>
      </w:r>
    </w:p>
    <w:p w14:paraId="2F4A3D1B">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法律法规规定的其他权利</w:t>
      </w:r>
      <w:r>
        <w:rPr>
          <w:rFonts w:hint="eastAsia" w:ascii="Times New Roman" w:hAnsi="Times New Roman" w:eastAsia="方正仿宋_GBK" w:cs="Times New Roman"/>
          <w:b w:val="0"/>
          <w:bCs w:val="0"/>
          <w:color w:val="auto"/>
          <w:kern w:val="0"/>
          <w:sz w:val="32"/>
          <w:szCs w:val="32"/>
          <w:highlight w:val="none"/>
          <w:lang w:eastAsia="zh-CN"/>
        </w:rPr>
        <w:t>。</w:t>
      </w:r>
    </w:p>
    <w:p w14:paraId="0094CE8D">
      <w:pPr>
        <w:pageBreakBefore w:val="0"/>
        <w:widowControl/>
        <w:numPr>
          <w:ilvl w:val="0"/>
          <w:numId w:val="4"/>
        </w:numPr>
        <w:kinsoku/>
        <w:wordWrap/>
        <w:overflowPunct/>
        <w:topLinePunct w:val="0"/>
        <w:autoSpaceDE/>
        <w:autoSpaceDN/>
        <w:bidi w:val="0"/>
        <w:adjustRightInd w:val="0"/>
        <w:snapToGrid w:val="0"/>
        <w:spacing w:line="588" w:lineRule="exact"/>
        <w:ind w:left="-13" w:firstLine="640" w:firstLineChars="0"/>
        <w:jc w:val="both"/>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val="en-US" w:eastAsia="zh-Hans"/>
        </w:rPr>
        <w:t>新型经营主体</w:t>
      </w:r>
      <w:r>
        <w:rPr>
          <w:rFonts w:hint="eastAsia" w:ascii="Times New Roman" w:hAnsi="Times New Roman" w:eastAsia="方正仿宋_GBK" w:cs="Times New Roman"/>
          <w:b w:val="0"/>
          <w:bCs w:val="0"/>
          <w:color w:val="auto"/>
          <w:kern w:val="0"/>
          <w:sz w:val="32"/>
          <w:szCs w:val="32"/>
          <w:highlight w:val="none"/>
        </w:rPr>
        <w:t>的权利主要包括：</w:t>
      </w:r>
    </w:p>
    <w:p w14:paraId="5A83F990">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（一）获得</w:t>
      </w:r>
      <w:r>
        <w:rPr>
          <w:rFonts w:hint="eastAsia" w:ascii="Times New Roman" w:hAnsi="Times New Roman" w:eastAsia="方正仿宋_GBK" w:cs="Times New Roman"/>
          <w:b w:val="0"/>
          <w:bCs w:val="0"/>
          <w:color w:val="auto"/>
          <w:kern w:val="0"/>
          <w:sz w:val="32"/>
          <w:szCs w:val="32"/>
          <w:highlight w:val="none"/>
          <w:lang w:eastAsia="zh-CN"/>
        </w:rPr>
        <w:t>电力市场注册、交易、计量结算、信息披露等服务；</w:t>
      </w:r>
    </w:p>
    <w:p w14:paraId="556349A3">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获得市场化交易、输配电服务和签约</w:t>
      </w:r>
      <w:r>
        <w:rPr>
          <w:rFonts w:hint="eastAsia" w:ascii="Times New Roman" w:hAnsi="Times New Roman" w:eastAsia="方正仿宋_GBK" w:cs="Times New Roman"/>
          <w:b w:val="0"/>
          <w:bCs w:val="0"/>
          <w:color w:val="auto"/>
          <w:kern w:val="0"/>
          <w:sz w:val="32"/>
          <w:szCs w:val="32"/>
          <w:highlight w:val="none"/>
          <w:lang w:val="en-US" w:eastAsia="zh-CN"/>
        </w:rPr>
        <w:t>聚合资源</w:t>
      </w:r>
      <w:r>
        <w:rPr>
          <w:rFonts w:hint="eastAsia" w:ascii="Times New Roman" w:hAnsi="Times New Roman" w:eastAsia="方正仿宋_GBK" w:cs="Times New Roman"/>
          <w:b w:val="0"/>
          <w:bCs w:val="0"/>
          <w:color w:val="auto"/>
          <w:kern w:val="0"/>
          <w:sz w:val="32"/>
          <w:szCs w:val="32"/>
          <w:highlight w:val="none"/>
        </w:rPr>
        <w:t>的基础信息等相关信息</w:t>
      </w:r>
      <w:r>
        <w:rPr>
          <w:rFonts w:hint="eastAsia" w:ascii="Times New Roman" w:hAnsi="Times New Roman" w:eastAsia="方正仿宋_GBK" w:cs="Times New Roman"/>
          <w:b w:val="0"/>
          <w:bCs w:val="0"/>
          <w:color w:val="auto"/>
          <w:kern w:val="0"/>
          <w:sz w:val="32"/>
          <w:szCs w:val="32"/>
          <w:highlight w:val="none"/>
          <w:lang w:eastAsia="zh-CN"/>
        </w:rPr>
        <w:t>；</w:t>
      </w:r>
    </w:p>
    <w:p w14:paraId="64EC5E9D">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获得公平的输配电服务和电网接入服务</w:t>
      </w:r>
      <w:r>
        <w:rPr>
          <w:rFonts w:hint="eastAsia" w:ascii="Times New Roman" w:hAnsi="Times New Roman" w:eastAsia="方正仿宋_GBK" w:cs="Times New Roman"/>
          <w:b w:val="0"/>
          <w:bCs w:val="0"/>
          <w:color w:val="auto"/>
          <w:kern w:val="0"/>
          <w:sz w:val="32"/>
          <w:szCs w:val="32"/>
          <w:highlight w:val="none"/>
          <w:lang w:eastAsia="zh-CN"/>
        </w:rPr>
        <w:t>；</w:t>
      </w:r>
    </w:p>
    <w:p w14:paraId="7DC56508">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color w:val="auto"/>
          <w:kern w:val="0"/>
          <w:sz w:val="32"/>
          <w:szCs w:val="32"/>
          <w:highlight w:val="none"/>
          <w:lang w:eastAsia="zh-CN"/>
        </w:rPr>
        <w:t>；</w:t>
      </w:r>
    </w:p>
    <w:p w14:paraId="54177BBD">
      <w:pPr>
        <w:widowControl/>
        <w:adjustRightInd w:val="0"/>
        <w:snapToGrid w:val="0"/>
        <w:spacing w:line="588" w:lineRule="exact"/>
        <w:ind w:firstLine="640" w:firstLineChars="200"/>
        <w:jc w:val="both"/>
        <w:rPr>
          <w:rFonts w:hint="eastAsia" w:ascii="Times New Roman" w:hAnsi="Times New Roman" w:cs="Times New Roman"/>
          <w:b w:val="0"/>
          <w:bCs w:val="0"/>
          <w:color w:val="auto"/>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法律法规规定的其他权利</w:t>
      </w:r>
      <w:r>
        <w:rPr>
          <w:rFonts w:hint="eastAsia" w:ascii="Times New Roman" w:hAnsi="Times New Roman" w:eastAsia="方正仿宋_GBK" w:cs="Times New Roman"/>
          <w:b w:val="0"/>
          <w:bCs w:val="0"/>
          <w:color w:val="auto"/>
          <w:kern w:val="0"/>
          <w:sz w:val="32"/>
          <w:szCs w:val="32"/>
          <w:highlight w:val="none"/>
          <w:lang w:eastAsia="zh-CN"/>
        </w:rPr>
        <w:t>。</w:t>
      </w:r>
    </w:p>
    <w:p w14:paraId="7CD871A7">
      <w:pPr>
        <w:pageBreakBefore w:val="0"/>
        <w:widowControl/>
        <w:numPr>
          <w:ilvl w:val="0"/>
          <w:numId w:val="4"/>
        </w:numPr>
        <w:kinsoku/>
        <w:wordWrap/>
        <w:overflowPunct/>
        <w:topLinePunct w:val="0"/>
        <w:autoSpaceDN/>
        <w:bidi w:val="0"/>
        <w:adjustRightInd w:val="0"/>
        <w:snapToGrid w:val="0"/>
        <w:spacing w:line="588" w:lineRule="exact"/>
        <w:ind w:left="-13" w:firstLine="643" w:firstLineChars="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电力调度机构的</w:t>
      </w:r>
      <w:r>
        <w:rPr>
          <w:rFonts w:hint="eastAsia" w:ascii="Times New Roman" w:hAnsi="Times New Roman" w:eastAsia="方正仿宋_GBK" w:cs="Times New Roman"/>
          <w:b w:val="0"/>
          <w:bCs w:val="0"/>
          <w:color w:val="auto"/>
          <w:kern w:val="0"/>
          <w:sz w:val="32"/>
          <w:szCs w:val="32"/>
          <w:highlight w:val="none"/>
          <w:lang w:val="en-US" w:eastAsia="zh-CN"/>
        </w:rPr>
        <w:t>权利</w:t>
      </w:r>
      <w:r>
        <w:rPr>
          <w:rFonts w:hint="eastAsia" w:ascii="Times New Roman" w:hAnsi="Times New Roman" w:eastAsia="方正仿宋_GBK" w:cs="Times New Roman"/>
          <w:b w:val="0"/>
          <w:bCs w:val="0"/>
          <w:color w:val="auto"/>
          <w:kern w:val="0"/>
          <w:sz w:val="32"/>
          <w:szCs w:val="32"/>
          <w:highlight w:val="none"/>
        </w:rPr>
        <w:t>主要包括：</w:t>
      </w:r>
    </w:p>
    <w:p w14:paraId="1FDA60DF">
      <w:pPr>
        <w:pageBreakBefore w:val="0"/>
        <w:widowControl/>
        <w:kinsoku/>
        <w:wordWrap/>
        <w:overflowPunct/>
        <w:topLinePunct w:val="0"/>
        <w:autoSpaceDN/>
        <w:bidi w:val="0"/>
        <w:adjustRightInd w:val="0"/>
        <w:snapToGrid w:val="0"/>
        <w:spacing w:line="588" w:lineRule="exact"/>
        <w:ind w:left="638" w:leftChars="304" w:firstLine="0" w:firstLineChars="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（一）</w:t>
      </w:r>
      <w:r>
        <w:rPr>
          <w:rFonts w:hint="eastAsia" w:ascii="Times New Roman" w:hAnsi="Times New Roman" w:eastAsia="方正仿宋_GBK" w:cs="Times New Roman"/>
          <w:b w:val="0"/>
          <w:bCs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color w:val="auto"/>
          <w:kern w:val="0"/>
          <w:sz w:val="32"/>
          <w:szCs w:val="32"/>
          <w:highlight w:val="none"/>
          <w:lang w:eastAsia="zh-CN"/>
        </w:rPr>
        <w:t>；</w:t>
      </w:r>
    </w:p>
    <w:p w14:paraId="2C8E650A">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二</w:t>
      </w:r>
      <w:r>
        <w:rPr>
          <w:rFonts w:hint="eastAsia" w:ascii="Times New Roman" w:hAnsi="Times New Roman" w:eastAsia="方正仿宋_GBK" w:cs="Times New Roman"/>
          <w:b w:val="0"/>
          <w:bCs w:val="0"/>
          <w:color w:val="auto"/>
          <w:kern w:val="0"/>
          <w:sz w:val="32"/>
          <w:szCs w:val="32"/>
          <w:highlight w:val="none"/>
        </w:rPr>
        <w:t>）法律法规规定的其他</w:t>
      </w:r>
      <w:r>
        <w:rPr>
          <w:rFonts w:hint="eastAsia" w:ascii="Times New Roman" w:hAnsi="Times New Roman" w:eastAsia="方正仿宋_GBK" w:cs="Times New Roman"/>
          <w:b w:val="0"/>
          <w:bCs w:val="0"/>
          <w:color w:val="auto"/>
          <w:kern w:val="0"/>
          <w:sz w:val="32"/>
          <w:szCs w:val="32"/>
          <w:highlight w:val="none"/>
          <w:lang w:val="en-US" w:eastAsia="zh-Hans"/>
        </w:rPr>
        <w:t>权利</w:t>
      </w:r>
      <w:r>
        <w:rPr>
          <w:rFonts w:hint="eastAsia" w:ascii="Times New Roman" w:hAnsi="Times New Roman" w:eastAsia="方正仿宋_GBK" w:cs="Times New Roman"/>
          <w:b w:val="0"/>
          <w:bCs w:val="0"/>
          <w:color w:val="auto"/>
          <w:kern w:val="0"/>
          <w:sz w:val="32"/>
          <w:szCs w:val="32"/>
          <w:highlight w:val="none"/>
        </w:rPr>
        <w:t>。</w:t>
      </w:r>
    </w:p>
    <w:p w14:paraId="62AE8940">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电力</w:t>
      </w:r>
      <w:r>
        <w:rPr>
          <w:rFonts w:hint="eastAsia" w:ascii="Times New Roman" w:hAnsi="Times New Roman" w:eastAsia="方正仿宋_GBK" w:cs="Times New Roman"/>
          <w:b w:val="0"/>
          <w:bCs w:val="0"/>
          <w:color w:val="auto"/>
          <w:kern w:val="0"/>
          <w:sz w:val="32"/>
          <w:szCs w:val="32"/>
          <w:highlight w:val="none"/>
        </w:rPr>
        <w:t>交易机构的</w:t>
      </w:r>
      <w:r>
        <w:rPr>
          <w:rFonts w:hint="eastAsia" w:ascii="Times New Roman" w:hAnsi="Times New Roman" w:eastAsia="方正仿宋_GBK" w:cs="Times New Roman"/>
          <w:b w:val="0"/>
          <w:bCs w:val="0"/>
          <w:color w:val="auto"/>
          <w:kern w:val="0"/>
          <w:sz w:val="32"/>
          <w:szCs w:val="32"/>
          <w:highlight w:val="none"/>
          <w:lang w:val="en-US" w:eastAsia="zh-CN"/>
        </w:rPr>
        <w:t>权利</w:t>
      </w:r>
      <w:r>
        <w:rPr>
          <w:rFonts w:hint="eastAsia" w:ascii="Times New Roman" w:hAnsi="Times New Roman" w:eastAsia="方正仿宋_GBK" w:cs="Times New Roman"/>
          <w:b w:val="0"/>
          <w:bCs w:val="0"/>
          <w:color w:val="auto"/>
          <w:kern w:val="0"/>
          <w:sz w:val="32"/>
          <w:szCs w:val="32"/>
          <w:highlight w:val="none"/>
        </w:rPr>
        <w:t>主要包括：</w:t>
      </w:r>
    </w:p>
    <w:p w14:paraId="3E4BDBCA">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行使电力</w:t>
      </w:r>
      <w:r>
        <w:rPr>
          <w:rFonts w:hint="eastAsia" w:ascii="Times New Roman" w:hAnsi="Times New Roman" w:eastAsia="方正仿宋_GBK" w:cs="Times New Roman"/>
          <w:b w:val="0"/>
          <w:bCs w:val="0"/>
          <w:color w:val="auto"/>
          <w:kern w:val="0"/>
          <w:sz w:val="32"/>
          <w:szCs w:val="32"/>
          <w:highlight w:val="none"/>
        </w:rPr>
        <w:t>中长期</w:t>
      </w:r>
      <w:r>
        <w:rPr>
          <w:rFonts w:hint="eastAsia" w:ascii="Times New Roman" w:hAnsi="Times New Roman" w:eastAsia="方正仿宋_GBK" w:cs="Times New Roman"/>
          <w:b w:val="0"/>
          <w:bCs w:val="0"/>
          <w:color w:val="auto"/>
          <w:kern w:val="0"/>
          <w:sz w:val="32"/>
          <w:szCs w:val="32"/>
          <w:highlight w:val="none"/>
          <w:lang w:eastAsia="zh"/>
        </w:rPr>
        <w:t>市场、零售市场</w:t>
      </w:r>
      <w:r>
        <w:rPr>
          <w:rFonts w:hint="eastAsia" w:ascii="Times New Roman" w:hAnsi="Times New Roman" w:eastAsia="方正仿宋_GBK" w:cs="Times New Roman"/>
          <w:b w:val="0"/>
          <w:bCs w:val="0"/>
          <w:color w:val="auto"/>
          <w:kern w:val="0"/>
          <w:sz w:val="32"/>
          <w:szCs w:val="32"/>
          <w:highlight w:val="none"/>
        </w:rPr>
        <w:t>交易组织</w:t>
      </w:r>
      <w:r>
        <w:rPr>
          <w:rFonts w:hint="eastAsia" w:ascii="Times New Roman" w:hAnsi="Times New Roman" w:eastAsia="方正仿宋_GBK" w:cs="Times New Roman"/>
          <w:b w:val="0"/>
          <w:bCs w:val="0"/>
          <w:color w:val="auto"/>
          <w:kern w:val="0"/>
          <w:sz w:val="32"/>
          <w:szCs w:val="32"/>
          <w:highlight w:val="none"/>
          <w:lang w:eastAsia="zh"/>
        </w:rPr>
        <w:t>、</w:t>
      </w:r>
      <w:r>
        <w:rPr>
          <w:rFonts w:hint="eastAsia" w:ascii="Times New Roman" w:hAnsi="Times New Roman" w:eastAsia="方正仿宋_GBK" w:cs="Times New Roman"/>
          <w:b w:val="0"/>
          <w:bCs w:val="0"/>
          <w:color w:val="auto"/>
          <w:kern w:val="0"/>
          <w:sz w:val="32"/>
          <w:szCs w:val="32"/>
          <w:highlight w:val="none"/>
          <w:lang w:val="en-US" w:eastAsia="zh-CN"/>
        </w:rPr>
        <w:t>交易出清校核、</w:t>
      </w:r>
      <w:r>
        <w:rPr>
          <w:rFonts w:hint="eastAsia" w:ascii="Times New Roman" w:hAnsi="Times New Roman" w:eastAsia="方正仿宋_GBK" w:cs="Times New Roman"/>
          <w:b w:val="0"/>
          <w:bCs w:val="0"/>
          <w:color w:val="auto"/>
          <w:kern w:val="0"/>
          <w:sz w:val="32"/>
          <w:szCs w:val="32"/>
          <w:highlight w:val="none"/>
        </w:rPr>
        <w:t>合同管理</w:t>
      </w:r>
      <w:r>
        <w:rPr>
          <w:rFonts w:hint="eastAsia" w:ascii="Times New Roman" w:hAnsi="Times New Roman" w:eastAsia="方正仿宋_GBK" w:cs="Times New Roman"/>
          <w:b w:val="0"/>
          <w:bCs w:val="0"/>
          <w:color w:val="auto"/>
          <w:kern w:val="0"/>
          <w:sz w:val="32"/>
          <w:szCs w:val="32"/>
          <w:highlight w:val="none"/>
          <w:lang w:val="en-US" w:eastAsia="zh-CN"/>
        </w:rPr>
        <w:t>等</w:t>
      </w:r>
      <w:r>
        <w:rPr>
          <w:rFonts w:hint="eastAsia" w:ascii="Times New Roman" w:hAnsi="Times New Roman" w:eastAsia="方正仿宋_GBK" w:cs="Times New Roman"/>
          <w:b w:val="0"/>
          <w:bCs w:val="0"/>
          <w:color w:val="auto"/>
          <w:kern w:val="0"/>
          <w:sz w:val="32"/>
          <w:szCs w:val="32"/>
          <w:highlight w:val="none"/>
          <w:lang w:eastAsia="zh"/>
        </w:rPr>
        <w:t>市场运营</w:t>
      </w:r>
      <w:r>
        <w:rPr>
          <w:rFonts w:hint="eastAsia" w:ascii="Times New Roman" w:hAnsi="Times New Roman" w:eastAsia="方正仿宋_GBK" w:cs="Times New Roman"/>
          <w:b w:val="0"/>
          <w:bCs w:val="0"/>
          <w:color w:val="auto"/>
          <w:kern w:val="0"/>
          <w:sz w:val="32"/>
          <w:szCs w:val="32"/>
          <w:highlight w:val="none"/>
          <w:lang w:eastAsia="zh-CN"/>
        </w:rPr>
        <w:t>职能；</w:t>
      </w:r>
    </w:p>
    <w:p w14:paraId="50608602">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strike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eastAsia="zh-CN"/>
        </w:rPr>
        <w:t>获得市场成员提供的支撑电力市场交易、</w:t>
      </w:r>
      <w:r>
        <w:rPr>
          <w:rFonts w:hint="eastAsia" w:ascii="Times New Roman" w:hAnsi="Times New Roman" w:eastAsia="方正仿宋_GBK" w:cs="Times New Roman"/>
          <w:b w:val="0"/>
          <w:bCs w:val="0"/>
          <w:color w:val="auto"/>
          <w:kern w:val="0"/>
          <w:sz w:val="32"/>
          <w:szCs w:val="32"/>
          <w:highlight w:val="none"/>
          <w:lang w:val="en-US" w:eastAsia="zh-CN"/>
        </w:rPr>
        <w:t>结算</w:t>
      </w:r>
      <w:r>
        <w:rPr>
          <w:rFonts w:hint="eastAsia" w:ascii="Times New Roman" w:hAnsi="Times New Roman" w:eastAsia="方正仿宋_GBK" w:cs="Times New Roman"/>
          <w:b w:val="0"/>
          <w:bCs w:val="0"/>
          <w:color w:val="auto"/>
          <w:kern w:val="0"/>
          <w:sz w:val="32"/>
          <w:szCs w:val="32"/>
          <w:highlight w:val="none"/>
          <w:lang w:eastAsia="zh-CN"/>
        </w:rPr>
        <w:t>以及服务需求的数据等；</w:t>
      </w:r>
    </w:p>
    <w:p w14:paraId="7C622AE2">
      <w:pPr>
        <w:widowControl/>
        <w:adjustRightInd w:val="0"/>
        <w:snapToGrid w:val="0"/>
        <w:spacing w:line="588" w:lineRule="exact"/>
        <w:ind w:firstLine="640" w:firstLineChars="200"/>
        <w:rPr>
          <w:rFonts w:hint="eastAsia" w:ascii="Times New Roman" w:hAnsi="Times New Roman" w:cs="Times New Roman"/>
          <w:b w:val="0"/>
          <w:bCs w:val="0"/>
          <w:color w:val="auto"/>
          <w:lang w:val="en-US"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按授权</w:t>
      </w:r>
      <w:r>
        <w:rPr>
          <w:rFonts w:hint="eastAsia" w:ascii="Times New Roman" w:hAnsi="Times New Roman" w:eastAsia="方正仿宋_GBK" w:cs="Times New Roman"/>
          <w:b w:val="0"/>
          <w:bCs w:val="0"/>
          <w:color w:val="auto"/>
          <w:kern w:val="0"/>
          <w:sz w:val="32"/>
          <w:szCs w:val="32"/>
          <w:highlight w:val="none"/>
          <w:lang w:eastAsia="zh"/>
        </w:rPr>
        <w:t>拟定经营主体信用评价指标体系及管理制度，开展信用评价工作</w:t>
      </w:r>
      <w:r>
        <w:rPr>
          <w:rFonts w:hint="eastAsia" w:ascii="Times New Roman" w:hAnsi="Times New Roman" w:eastAsia="方正仿宋_GBK" w:cs="Times New Roman"/>
          <w:b w:val="0"/>
          <w:bCs w:val="0"/>
          <w:color w:val="auto"/>
          <w:kern w:val="0"/>
          <w:sz w:val="32"/>
          <w:szCs w:val="32"/>
          <w:highlight w:val="none"/>
          <w:lang w:eastAsia="zh-CN"/>
        </w:rPr>
        <w:t>；</w:t>
      </w:r>
    </w:p>
    <w:p w14:paraId="214A87F2">
      <w:pPr>
        <w:widowControl/>
        <w:adjustRightInd w:val="0"/>
        <w:snapToGrid w:val="0"/>
        <w:spacing w:line="588" w:lineRule="exact"/>
        <w:ind w:firstLine="640" w:firstLineChars="20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rPr>
        <w:t>）法律法规规定的其他权利。</w:t>
      </w:r>
    </w:p>
    <w:p w14:paraId="281CAB27">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电网</w:t>
      </w:r>
      <w:r>
        <w:rPr>
          <w:rFonts w:hint="eastAsia" w:ascii="Times New Roman" w:hAnsi="Times New Roman" w:eastAsia="方正仿宋_GBK" w:cs="Times New Roman"/>
          <w:b w:val="0"/>
          <w:bCs w:val="0"/>
          <w:color w:val="auto"/>
          <w:kern w:val="0"/>
          <w:sz w:val="32"/>
          <w:szCs w:val="32"/>
          <w:highlight w:val="none"/>
        </w:rPr>
        <w:t>企业的</w:t>
      </w:r>
      <w:r>
        <w:rPr>
          <w:rFonts w:hint="eastAsia" w:ascii="Times New Roman" w:hAnsi="Times New Roman" w:eastAsia="方正仿宋_GBK" w:cs="Times New Roman"/>
          <w:b w:val="0"/>
          <w:bCs w:val="0"/>
          <w:color w:val="auto"/>
          <w:kern w:val="0"/>
          <w:sz w:val="32"/>
          <w:szCs w:val="32"/>
          <w:highlight w:val="none"/>
          <w:lang w:val="en-US" w:eastAsia="zh-CN"/>
        </w:rPr>
        <w:t>权利主要包括</w:t>
      </w:r>
      <w:r>
        <w:rPr>
          <w:rFonts w:hint="eastAsia" w:ascii="Times New Roman" w:hAnsi="Times New Roman" w:eastAsia="方正仿宋_GBK" w:cs="Times New Roman"/>
          <w:b w:val="0"/>
          <w:bCs w:val="0"/>
          <w:color w:val="auto"/>
          <w:kern w:val="0"/>
          <w:sz w:val="32"/>
          <w:szCs w:val="32"/>
          <w:highlight w:val="none"/>
        </w:rPr>
        <w:t>：</w:t>
      </w:r>
    </w:p>
    <w:p w14:paraId="6818E8B6">
      <w:pPr>
        <w:keepNext w:val="0"/>
        <w:keepLines w:val="0"/>
        <w:pageBreakBefore w:val="0"/>
        <w:widowControl/>
        <w:suppressLineNumbers w:val="0"/>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bidi="ar"/>
        </w:rPr>
        <w:t>收取输配电费，代收代付电费和政府性基金及附加等；</w:t>
      </w:r>
    </w:p>
    <w:p w14:paraId="046CE7D9">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rPr>
        <w:t>）</w:t>
      </w:r>
      <w:r>
        <w:rPr>
          <w:rFonts w:hint="default" w:ascii="Times New Roman" w:hAnsi="Times New Roman" w:eastAsia="方正仿宋_GBK" w:cs="Times New Roman"/>
          <w:b w:val="0"/>
          <w:bCs w:val="0"/>
          <w:color w:val="auto"/>
          <w:sz w:val="30"/>
          <w:szCs w:val="30"/>
          <w:highlight w:val="none"/>
        </w:rPr>
        <w:t>对于逾期仍未全额付款</w:t>
      </w:r>
      <w:r>
        <w:rPr>
          <w:rFonts w:hint="default" w:ascii="Times New Roman" w:hAnsi="Times New Roman" w:eastAsia="方正仿宋_GBK" w:cs="Times New Roman"/>
          <w:b w:val="0"/>
          <w:bCs w:val="0"/>
          <w:color w:val="auto"/>
          <w:sz w:val="30"/>
          <w:szCs w:val="30"/>
          <w:highlight w:val="none"/>
          <w:lang w:eastAsia="zh-CN"/>
        </w:rPr>
        <w:t>的售电公司</w:t>
      </w:r>
      <w:r>
        <w:rPr>
          <w:rFonts w:hint="default" w:ascii="Times New Roman" w:hAnsi="Times New Roman" w:eastAsia="方正仿宋_GBK" w:cs="Times New Roman"/>
          <w:b w:val="0"/>
          <w:bCs w:val="0"/>
          <w:color w:val="auto"/>
          <w:sz w:val="30"/>
          <w:szCs w:val="30"/>
          <w:highlight w:val="none"/>
        </w:rPr>
        <w:t>，向电力交易机构提出履约保函、</w:t>
      </w:r>
      <w:r>
        <w:rPr>
          <w:rFonts w:hint="eastAsia" w:ascii="Times New Roman" w:hAnsi="Times New Roman" w:eastAsia="方正仿宋_GBK" w:cs="Times New Roman"/>
          <w:b w:val="0"/>
          <w:bCs w:val="0"/>
          <w:color w:val="auto"/>
          <w:sz w:val="30"/>
          <w:szCs w:val="30"/>
          <w:highlight w:val="none"/>
          <w:lang w:eastAsia="zh-CN"/>
        </w:rPr>
        <w:t>保证金或其他结算担保品</w:t>
      </w:r>
      <w:r>
        <w:rPr>
          <w:rFonts w:hint="default" w:ascii="Times New Roman" w:hAnsi="Times New Roman" w:eastAsia="方正仿宋_GBK" w:cs="Times New Roman"/>
          <w:b w:val="0"/>
          <w:bCs w:val="0"/>
          <w:color w:val="auto"/>
          <w:sz w:val="30"/>
          <w:szCs w:val="30"/>
          <w:highlight w:val="none"/>
        </w:rPr>
        <w:t>的使用申请</w:t>
      </w:r>
      <w:r>
        <w:rPr>
          <w:rFonts w:hint="eastAsia" w:ascii="Times New Roman" w:hAnsi="Times New Roman" w:eastAsia="方正仿宋_GBK" w:cs="Times New Roman"/>
          <w:b w:val="0"/>
          <w:bCs w:val="0"/>
          <w:color w:val="auto"/>
          <w:kern w:val="0"/>
          <w:sz w:val="32"/>
          <w:szCs w:val="32"/>
          <w:highlight w:val="none"/>
          <w:lang w:eastAsia="zh-CN"/>
        </w:rPr>
        <w:t>；</w:t>
      </w:r>
    </w:p>
    <w:p w14:paraId="4E0B6AA8">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按照信息披露有关规定获得市场信息</w:t>
      </w:r>
      <w:r>
        <w:rPr>
          <w:rFonts w:hint="eastAsia" w:ascii="Times New Roman" w:hAnsi="Times New Roman" w:eastAsia="方正仿宋_GBK" w:cs="Times New Roman"/>
          <w:b w:val="0"/>
          <w:bCs w:val="0"/>
          <w:color w:val="auto"/>
          <w:kern w:val="0"/>
          <w:sz w:val="32"/>
          <w:szCs w:val="32"/>
          <w:highlight w:val="none"/>
          <w:lang w:eastAsia="zh-CN"/>
        </w:rPr>
        <w:t>；</w:t>
      </w:r>
    </w:p>
    <w:p w14:paraId="3D56131F">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法律法规规定的其他权利。</w:t>
      </w:r>
    </w:p>
    <w:p w14:paraId="486A821F">
      <w:pPr>
        <w:pStyle w:val="2"/>
        <w:widowControl/>
        <w:adjustRightInd w:val="0"/>
        <w:snapToGrid w:val="0"/>
        <w:spacing w:line="588" w:lineRule="exact"/>
        <w:ind w:firstLineChars="0"/>
        <w:jc w:val="center"/>
        <w:rPr>
          <w:rFonts w:hint="eastAsia" w:ascii="Times New Roman" w:hAnsi="Times New Roman" w:eastAsia="方正楷体_GBK" w:cs="Times New Roman"/>
          <w:b w:val="0"/>
          <w:bCs w:val="0"/>
          <w:color w:val="auto"/>
          <w:kern w:val="2"/>
          <w:sz w:val="32"/>
          <w:szCs w:val="32"/>
          <w:highlight w:val="none"/>
        </w:rPr>
      </w:pPr>
      <w:bookmarkStart w:id="56" w:name="_Toc18677"/>
      <w:bookmarkStart w:id="57" w:name="_Toc750"/>
      <w:bookmarkStart w:id="58" w:name="_Toc207"/>
      <w:bookmarkStart w:id="59" w:name="_Toc26638"/>
      <w:bookmarkStart w:id="60" w:name="_Toc1282620685"/>
      <w:bookmarkStart w:id="61" w:name="_Toc1640825394"/>
      <w:bookmarkStart w:id="62" w:name="_Toc22514"/>
      <w:bookmarkStart w:id="63" w:name="_Toc392359817"/>
      <w:r>
        <w:rPr>
          <w:rFonts w:hint="eastAsia" w:ascii="Times New Roman" w:hAnsi="Times New Roman" w:eastAsia="方正楷体_GBK" w:cs="Times New Roman"/>
          <w:b w:val="0"/>
          <w:bCs w:val="0"/>
          <w:color w:val="auto"/>
          <w:kern w:val="2"/>
          <w:sz w:val="32"/>
          <w:szCs w:val="32"/>
          <w:highlight w:val="none"/>
          <w:lang w:val="en-US" w:eastAsia="zh-CN"/>
        </w:rPr>
        <w:t>第二节 市场成员</w:t>
      </w:r>
      <w:r>
        <w:rPr>
          <w:rFonts w:hint="eastAsia" w:ascii="Times New Roman" w:hAnsi="Times New Roman" w:eastAsia="方正楷体_GBK" w:cs="Times New Roman"/>
          <w:b w:val="0"/>
          <w:bCs w:val="0"/>
          <w:color w:val="auto"/>
          <w:kern w:val="2"/>
          <w:sz w:val="32"/>
          <w:szCs w:val="32"/>
          <w:highlight w:val="none"/>
        </w:rPr>
        <w:t>义务</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249ADF99">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发电</w:t>
      </w:r>
      <w:r>
        <w:rPr>
          <w:rFonts w:hint="eastAsia" w:ascii="Times New Roman" w:hAnsi="Times New Roman" w:eastAsia="方正仿宋_GBK" w:cs="Times New Roman"/>
          <w:b w:val="0"/>
          <w:bCs w:val="0"/>
          <w:color w:val="auto"/>
          <w:kern w:val="0"/>
          <w:sz w:val="32"/>
          <w:szCs w:val="32"/>
          <w:highlight w:val="none"/>
        </w:rPr>
        <w:t>企业的义务主要包括：</w:t>
      </w:r>
    </w:p>
    <w:p w14:paraId="0DD7B8D8">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rPr>
        <w:t>按照规则参与</w:t>
      </w:r>
      <w:r>
        <w:rPr>
          <w:rFonts w:hint="eastAsia" w:ascii="Times New Roman" w:hAnsi="Times New Roman" w:eastAsia="方正仿宋_GBK" w:cs="Times New Roman"/>
          <w:b w:val="0"/>
          <w:bCs w:val="0"/>
          <w:strike w:val="0"/>
          <w:color w:val="auto"/>
          <w:kern w:val="0"/>
          <w:sz w:val="32"/>
          <w:szCs w:val="32"/>
          <w:highlight w:val="none"/>
          <w:lang w:val="en-US" w:eastAsia="zh-CN"/>
        </w:rPr>
        <w:t>电力中长期</w:t>
      </w:r>
      <w:r>
        <w:rPr>
          <w:rFonts w:hint="eastAsia" w:ascii="Times New Roman" w:hAnsi="Times New Roman" w:eastAsia="方正仿宋_GBK" w:cs="Times New Roman"/>
          <w:b w:val="0"/>
          <w:bCs w:val="0"/>
          <w:strike w:val="0"/>
          <w:color w:val="auto"/>
          <w:kern w:val="0"/>
          <w:sz w:val="32"/>
          <w:szCs w:val="32"/>
          <w:highlight w:val="none"/>
          <w:lang w:val="en-US" w:eastAsia="zh-CN"/>
        </w:rPr>
        <w:t>市场</w:t>
      </w:r>
      <w:r>
        <w:rPr>
          <w:rFonts w:hint="eastAsia" w:ascii="Times New Roman" w:hAnsi="Times New Roman" w:eastAsia="方正仿宋_GBK" w:cs="Times New Roman"/>
          <w:b w:val="0"/>
          <w:bCs w:val="0"/>
          <w:strike w:val="0"/>
          <w:color w:val="auto"/>
          <w:kern w:val="0"/>
          <w:sz w:val="32"/>
          <w:szCs w:val="32"/>
          <w:highlight w:val="none"/>
        </w:rPr>
        <w:t>，签订</w:t>
      </w:r>
      <w:r>
        <w:rPr>
          <w:rFonts w:hint="eastAsia" w:ascii="Times New Roman" w:hAnsi="Times New Roman" w:eastAsia="方正仿宋_GBK" w:cs="Times New Roman"/>
          <w:b w:val="0"/>
          <w:bCs w:val="0"/>
          <w:strike w:val="0"/>
          <w:color w:val="auto"/>
          <w:kern w:val="0"/>
          <w:sz w:val="32"/>
          <w:szCs w:val="32"/>
          <w:highlight w:val="none"/>
          <w:lang w:eastAsia="zh-CN"/>
        </w:rPr>
        <w:t>并履行</w:t>
      </w:r>
      <w:r>
        <w:rPr>
          <w:rFonts w:hint="eastAsia" w:ascii="Times New Roman" w:hAnsi="Times New Roman" w:eastAsia="方正仿宋_GBK" w:cs="Times New Roman"/>
          <w:b w:val="0"/>
          <w:bCs w:val="0"/>
          <w:strike w:val="0"/>
          <w:color w:val="auto"/>
          <w:kern w:val="0"/>
          <w:sz w:val="32"/>
          <w:szCs w:val="32"/>
          <w:highlight w:val="none"/>
        </w:rPr>
        <w:t>各类电力交易合同，</w:t>
      </w:r>
      <w:r>
        <w:rPr>
          <w:rFonts w:hint="eastAsia" w:ascii="Times New Roman" w:hAnsi="Times New Roman" w:eastAsia="方正仿宋_GBK" w:cs="Times New Roman"/>
          <w:b w:val="0"/>
          <w:bCs w:val="0"/>
          <w:color w:val="auto"/>
          <w:kern w:val="0"/>
          <w:sz w:val="32"/>
          <w:szCs w:val="32"/>
          <w:highlight w:val="none"/>
        </w:rPr>
        <w:t>按时完成电费结算</w:t>
      </w:r>
      <w:r>
        <w:rPr>
          <w:rFonts w:hint="eastAsia" w:ascii="Times New Roman" w:hAnsi="Times New Roman" w:eastAsia="方正仿宋_GBK" w:cs="Times New Roman"/>
          <w:b w:val="0"/>
          <w:bCs w:val="0"/>
          <w:color w:val="auto"/>
          <w:kern w:val="0"/>
          <w:sz w:val="32"/>
          <w:szCs w:val="32"/>
          <w:highlight w:val="none"/>
          <w:lang w:eastAsia="zh-CN"/>
        </w:rPr>
        <w:t>；</w:t>
      </w:r>
    </w:p>
    <w:p w14:paraId="4D6152BD">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rPr>
        <w:t>）签订并执行并网调度协议</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购售电合同</w:t>
      </w:r>
      <w:r>
        <w:rPr>
          <w:rFonts w:hint="eastAsia" w:ascii="Times New Roman" w:hAnsi="Times New Roman" w:eastAsia="方正仿宋_GBK" w:cs="Times New Roman"/>
          <w:b w:val="0"/>
          <w:bCs w:val="0"/>
          <w:color w:val="auto"/>
          <w:kern w:val="0"/>
          <w:sz w:val="32"/>
          <w:szCs w:val="32"/>
          <w:highlight w:val="none"/>
        </w:rPr>
        <w:t>，服从电力调度机构的统一调度，提供承诺的有效容量和辅助服务，提供电厂检修计划、实测参数、预测运行信息、紧急停机信息等</w:t>
      </w:r>
      <w:r>
        <w:rPr>
          <w:rFonts w:hint="eastAsia" w:ascii="Times New Roman" w:hAnsi="Times New Roman" w:eastAsia="方正仿宋_GBK" w:cs="Times New Roman"/>
          <w:b w:val="0"/>
          <w:bCs w:val="0"/>
          <w:color w:val="auto"/>
          <w:kern w:val="0"/>
          <w:sz w:val="32"/>
          <w:szCs w:val="32"/>
          <w:highlight w:val="none"/>
          <w:lang w:eastAsia="zh-CN"/>
        </w:rPr>
        <w:t>；</w:t>
      </w:r>
    </w:p>
    <w:p w14:paraId="0675A979">
      <w:pPr>
        <w:pageBreakBefore w:val="0"/>
        <w:widowControl/>
        <w:kinsoku/>
        <w:wordWrap/>
        <w:overflowPunct/>
        <w:topLinePunct w:val="0"/>
        <w:autoSpaceDN/>
        <w:bidi w:val="0"/>
        <w:adjustRightInd w:val="0"/>
        <w:snapToGrid w:val="0"/>
        <w:spacing w:line="588" w:lineRule="exact"/>
        <w:ind w:firstLine="640" w:firstLineChars="200"/>
        <w:jc w:val="both"/>
        <w:rPr>
          <w:rFonts w:hint="default" w:ascii="Times New Roman" w:hAnsi="Times New Roman" w:eastAsia="方正仿宋_GBK" w:cs="Times New Roman"/>
          <w:b w:val="0"/>
          <w:bCs w:val="0"/>
          <w:color w:val="auto"/>
          <w:kern w:val="0"/>
          <w:sz w:val="32"/>
          <w:szCs w:val="32"/>
          <w:highlight w:val="none"/>
          <w:lang w:val="en-US"/>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rPr>
        <w:t>）依法依规提供相关市场信息</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执行信息披露有关规定</w:t>
      </w:r>
      <w:r>
        <w:rPr>
          <w:rFonts w:hint="eastAsia" w:ascii="Times New Roman" w:hAnsi="Times New Roman" w:eastAsia="方正仿宋_GBK" w:cs="Times New Roman"/>
          <w:b w:val="0"/>
          <w:bCs w:val="0"/>
          <w:color w:val="auto"/>
          <w:kern w:val="0"/>
          <w:sz w:val="32"/>
          <w:szCs w:val="32"/>
          <w:highlight w:val="none"/>
          <w:lang w:val="en-US" w:eastAsia="zh-CN"/>
        </w:rPr>
        <w:t>；</w:t>
      </w:r>
    </w:p>
    <w:p w14:paraId="3D4486EE">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rPr>
        <w:t>）具备满足参与</w:t>
      </w:r>
      <w:r>
        <w:rPr>
          <w:rFonts w:hint="eastAsia" w:ascii="Times New Roman" w:hAnsi="Times New Roman" w:eastAsia="方正仿宋_GBK" w:cs="Times New Roman"/>
          <w:b w:val="0"/>
          <w:bCs w:val="0"/>
          <w:color w:val="auto"/>
          <w:kern w:val="0"/>
          <w:sz w:val="32"/>
          <w:szCs w:val="32"/>
          <w:highlight w:val="none"/>
          <w:lang w:val="en-US" w:eastAsia="zh-CN"/>
        </w:rPr>
        <w:t>电力中长期市场</w:t>
      </w:r>
      <w:r>
        <w:rPr>
          <w:rFonts w:hint="eastAsia" w:ascii="Times New Roman" w:hAnsi="Times New Roman" w:eastAsia="方正仿宋_GBK" w:cs="Times New Roman"/>
          <w:b w:val="0"/>
          <w:bCs w:val="0"/>
          <w:color w:val="auto"/>
          <w:kern w:val="0"/>
          <w:sz w:val="32"/>
          <w:szCs w:val="32"/>
          <w:highlight w:val="none"/>
        </w:rPr>
        <w:t>要求的技术支持手段</w:t>
      </w:r>
      <w:r>
        <w:rPr>
          <w:rFonts w:hint="eastAsia" w:ascii="Times New Roman" w:hAnsi="Times New Roman" w:eastAsia="方正仿宋_GBK" w:cs="Times New Roman"/>
          <w:b w:val="0"/>
          <w:bCs w:val="0"/>
          <w:color w:val="auto"/>
          <w:kern w:val="0"/>
          <w:sz w:val="32"/>
          <w:szCs w:val="32"/>
          <w:highlight w:val="none"/>
          <w:lang w:eastAsia="zh-CN"/>
        </w:rPr>
        <w:t>；</w:t>
      </w:r>
    </w:p>
    <w:p w14:paraId="0FD0C448">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rPr>
        <w:t>）法律法规规定的其他义务。</w:t>
      </w:r>
    </w:p>
    <w:p w14:paraId="45B17EB1">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售</w:t>
      </w:r>
      <w:r>
        <w:rPr>
          <w:rFonts w:hint="eastAsia" w:ascii="Times New Roman" w:hAnsi="Times New Roman" w:eastAsia="方正仿宋_GBK" w:cs="Times New Roman"/>
          <w:b w:val="0"/>
          <w:bCs w:val="0"/>
          <w:color w:val="auto"/>
          <w:kern w:val="0"/>
          <w:sz w:val="32"/>
          <w:szCs w:val="32"/>
          <w:highlight w:val="none"/>
        </w:rPr>
        <w:t>电公司的义务主要包括：</w:t>
      </w:r>
    </w:p>
    <w:p w14:paraId="2BD410C4">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rPr>
        <w:t>按照规则参与</w:t>
      </w:r>
      <w:r>
        <w:rPr>
          <w:rFonts w:hint="eastAsia" w:ascii="Times New Roman" w:hAnsi="Times New Roman" w:eastAsia="方正仿宋_GBK" w:cs="Times New Roman"/>
          <w:b w:val="0"/>
          <w:bCs w:val="0"/>
          <w:strike w:val="0"/>
          <w:color w:val="auto"/>
          <w:kern w:val="0"/>
          <w:sz w:val="32"/>
          <w:szCs w:val="32"/>
          <w:highlight w:val="none"/>
          <w:lang w:val="en-US" w:eastAsia="zh-CN"/>
        </w:rPr>
        <w:t>电力中长期</w:t>
      </w:r>
      <w:r>
        <w:rPr>
          <w:rFonts w:hint="eastAsia" w:ascii="Times New Roman" w:hAnsi="Times New Roman" w:eastAsia="方正仿宋_GBK" w:cs="Times New Roman"/>
          <w:b w:val="0"/>
          <w:bCs w:val="0"/>
          <w:strike w:val="0"/>
          <w:color w:val="auto"/>
          <w:kern w:val="0"/>
          <w:sz w:val="32"/>
          <w:szCs w:val="32"/>
          <w:highlight w:val="none"/>
          <w:lang w:val="en-US" w:eastAsia="zh-CN"/>
        </w:rPr>
        <w:t>市场</w:t>
      </w:r>
      <w:r>
        <w:rPr>
          <w:rFonts w:hint="eastAsia" w:ascii="Times New Roman" w:hAnsi="Times New Roman" w:eastAsia="方正仿宋_GBK" w:cs="Times New Roman"/>
          <w:b w:val="0"/>
          <w:bCs w:val="0"/>
          <w:strike w:val="0"/>
          <w:color w:val="auto"/>
          <w:kern w:val="0"/>
          <w:sz w:val="32"/>
          <w:szCs w:val="32"/>
          <w:highlight w:val="none"/>
        </w:rPr>
        <w:t>，签订</w:t>
      </w:r>
      <w:r>
        <w:rPr>
          <w:rFonts w:hint="eastAsia" w:ascii="Times New Roman" w:hAnsi="Times New Roman" w:eastAsia="方正仿宋_GBK" w:cs="Times New Roman"/>
          <w:b w:val="0"/>
          <w:bCs w:val="0"/>
          <w:strike w:val="0"/>
          <w:color w:val="auto"/>
          <w:kern w:val="0"/>
          <w:sz w:val="32"/>
          <w:szCs w:val="32"/>
          <w:highlight w:val="none"/>
          <w:lang w:eastAsia="zh-CN"/>
        </w:rPr>
        <w:t>并履行</w:t>
      </w:r>
      <w:r>
        <w:rPr>
          <w:rFonts w:hint="eastAsia" w:ascii="Times New Roman" w:hAnsi="Times New Roman" w:eastAsia="方正仿宋_GBK" w:cs="Times New Roman"/>
          <w:b w:val="0"/>
          <w:bCs w:val="0"/>
          <w:strike w:val="0"/>
          <w:color w:val="auto"/>
          <w:kern w:val="0"/>
          <w:sz w:val="32"/>
          <w:szCs w:val="32"/>
          <w:highlight w:val="none"/>
        </w:rPr>
        <w:t>各类电力交易合同，</w:t>
      </w:r>
      <w:r>
        <w:rPr>
          <w:rFonts w:hint="eastAsia" w:ascii="Times New Roman" w:hAnsi="Times New Roman" w:eastAsia="方正仿宋_GBK" w:cs="Times New Roman"/>
          <w:b w:val="0"/>
          <w:bCs w:val="0"/>
          <w:color w:val="auto"/>
          <w:kern w:val="0"/>
          <w:sz w:val="32"/>
          <w:szCs w:val="32"/>
          <w:highlight w:val="none"/>
        </w:rPr>
        <w:t>按时完成电费结算</w:t>
      </w:r>
      <w:r>
        <w:rPr>
          <w:rFonts w:hint="eastAsia" w:ascii="Times New Roman" w:hAnsi="Times New Roman" w:eastAsia="方正仿宋_GBK" w:cs="Times New Roman"/>
          <w:b w:val="0"/>
          <w:bCs w:val="0"/>
          <w:color w:val="auto"/>
          <w:kern w:val="0"/>
          <w:sz w:val="32"/>
          <w:szCs w:val="32"/>
          <w:highlight w:val="none"/>
          <w:lang w:eastAsia="zh-CN"/>
        </w:rPr>
        <w:t>；</w:t>
      </w:r>
    </w:p>
    <w:p w14:paraId="48A22F44">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为签订零售合同的电力</w:t>
      </w:r>
      <w:r>
        <w:rPr>
          <w:rFonts w:hint="eastAsia" w:ascii="Times New Roman" w:hAnsi="Times New Roman" w:eastAsia="方正仿宋_GBK" w:cs="Times New Roman"/>
          <w:b w:val="0"/>
          <w:bCs w:val="0"/>
          <w:color w:val="auto"/>
          <w:kern w:val="0"/>
          <w:sz w:val="32"/>
          <w:szCs w:val="32"/>
          <w:highlight w:val="none"/>
        </w:rPr>
        <w:t>用户提供</w:t>
      </w:r>
      <w:r>
        <w:rPr>
          <w:rFonts w:hint="eastAsia" w:ascii="Times New Roman" w:hAnsi="Times New Roman" w:eastAsia="方正仿宋_GBK" w:cs="Times New Roman"/>
          <w:b w:val="0"/>
          <w:bCs w:val="0"/>
          <w:color w:val="auto"/>
          <w:kern w:val="0"/>
          <w:sz w:val="32"/>
          <w:szCs w:val="32"/>
          <w:highlight w:val="none"/>
          <w:lang w:val="en-US" w:eastAsia="zh-CN"/>
        </w:rPr>
        <w:t>售电服务</w:t>
      </w:r>
      <w:r>
        <w:rPr>
          <w:rFonts w:hint="eastAsia" w:ascii="Times New Roman" w:hAnsi="Times New Roman" w:eastAsia="方正仿宋_GBK" w:cs="Times New Roman"/>
          <w:b w:val="0"/>
          <w:bCs w:val="0"/>
          <w:color w:val="auto"/>
          <w:kern w:val="0"/>
          <w:sz w:val="32"/>
          <w:szCs w:val="32"/>
          <w:highlight w:val="none"/>
          <w:lang w:eastAsia="zh-CN"/>
        </w:rPr>
        <w:t>；</w:t>
      </w:r>
    </w:p>
    <w:p w14:paraId="4E428D94">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按照规则向电力交易机构、电力调度机构提供签约零售用户的交易电力电量需求、典型负荷曲线以及其他信息</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承担用户信息保密义务</w:t>
      </w:r>
      <w:r>
        <w:rPr>
          <w:rFonts w:hint="eastAsia" w:ascii="Times New Roman" w:hAnsi="Times New Roman" w:eastAsia="方正仿宋_GBK" w:cs="Times New Roman"/>
          <w:b w:val="0"/>
          <w:bCs w:val="0"/>
          <w:color w:val="auto"/>
          <w:kern w:val="0"/>
          <w:sz w:val="32"/>
          <w:szCs w:val="32"/>
          <w:highlight w:val="none"/>
          <w:lang w:eastAsia="zh-CN"/>
        </w:rPr>
        <w:t>；</w:t>
      </w:r>
    </w:p>
    <w:p w14:paraId="0FDEEBD7">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rPr>
        <w:t>）具有配电网运营权的售电公司提供相应</w:t>
      </w:r>
      <w:r>
        <w:rPr>
          <w:rFonts w:hint="eastAsia" w:ascii="Times New Roman" w:hAnsi="Times New Roman" w:eastAsia="方正仿宋_GBK" w:cs="Times New Roman"/>
          <w:b w:val="0"/>
          <w:bCs w:val="0"/>
          <w:color w:val="auto"/>
          <w:kern w:val="0"/>
          <w:sz w:val="32"/>
          <w:szCs w:val="32"/>
          <w:highlight w:val="none"/>
          <w:lang w:val="en-US" w:eastAsia="zh-CN"/>
        </w:rPr>
        <w:t>的</w:t>
      </w:r>
      <w:r>
        <w:rPr>
          <w:rFonts w:hint="eastAsia" w:ascii="Times New Roman" w:hAnsi="Times New Roman" w:eastAsia="方正仿宋_GBK" w:cs="Times New Roman"/>
          <w:b w:val="0"/>
          <w:bCs w:val="0"/>
          <w:color w:val="auto"/>
          <w:kern w:val="0"/>
          <w:sz w:val="32"/>
          <w:szCs w:val="32"/>
          <w:highlight w:val="none"/>
        </w:rPr>
        <w:t>配电服务</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服从电力调度机构的统一调度，遵守电力</w:t>
      </w:r>
      <w:r>
        <w:rPr>
          <w:rFonts w:hint="eastAsia" w:ascii="Times New Roman" w:hAnsi="Times New Roman" w:eastAsia="方正仿宋_GBK" w:cs="Times New Roman"/>
          <w:b w:val="0"/>
          <w:bCs w:val="0"/>
          <w:color w:val="auto"/>
          <w:kern w:val="0"/>
          <w:sz w:val="32"/>
          <w:szCs w:val="32"/>
          <w:highlight w:val="none"/>
          <w:lang w:val="en-US" w:eastAsia="zh-CN"/>
        </w:rPr>
        <w:t>负荷</w:t>
      </w:r>
      <w:r>
        <w:rPr>
          <w:rFonts w:hint="eastAsia" w:ascii="Times New Roman" w:hAnsi="Times New Roman" w:eastAsia="方正仿宋_GBK" w:cs="Times New Roman"/>
          <w:b w:val="0"/>
          <w:bCs w:val="0"/>
          <w:color w:val="auto"/>
          <w:kern w:val="0"/>
          <w:sz w:val="32"/>
          <w:szCs w:val="32"/>
          <w:highlight w:val="none"/>
        </w:rPr>
        <w:t>管理等相关规定，在系统特殊运行状况下（如事故、严重供不应求等）按照电力调度机构要求安排用电</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承担配电区域内电费结算</w:t>
      </w:r>
      <w:r>
        <w:rPr>
          <w:rFonts w:hint="eastAsia" w:ascii="Times New Roman" w:hAnsi="Times New Roman" w:eastAsia="方正仿宋_GBK" w:cs="Times New Roman"/>
          <w:b w:val="0"/>
          <w:bCs w:val="0"/>
          <w:color w:val="auto"/>
          <w:kern w:val="0"/>
          <w:sz w:val="32"/>
          <w:szCs w:val="32"/>
          <w:highlight w:val="none"/>
          <w:lang w:val="en-US" w:eastAsia="zh-CN"/>
        </w:rPr>
        <w:t>和收取</w:t>
      </w:r>
      <w:r>
        <w:rPr>
          <w:rFonts w:hint="eastAsia" w:ascii="Times New Roman" w:hAnsi="Times New Roman" w:eastAsia="方正仿宋_GBK" w:cs="Times New Roman"/>
          <w:b w:val="0"/>
          <w:bCs w:val="0"/>
          <w:color w:val="auto"/>
          <w:kern w:val="0"/>
          <w:sz w:val="32"/>
          <w:szCs w:val="32"/>
          <w:highlight w:val="none"/>
        </w:rPr>
        <w:t>业务</w:t>
      </w:r>
      <w:r>
        <w:rPr>
          <w:rFonts w:hint="eastAsia" w:ascii="Times New Roman" w:hAnsi="Times New Roman" w:eastAsia="方正仿宋_GBK" w:cs="Times New Roman"/>
          <w:b w:val="0"/>
          <w:bCs w:val="0"/>
          <w:color w:val="auto"/>
          <w:kern w:val="0"/>
          <w:sz w:val="32"/>
          <w:szCs w:val="32"/>
          <w:highlight w:val="none"/>
          <w:lang w:eastAsia="zh-CN"/>
        </w:rPr>
        <w:t>；</w:t>
      </w:r>
    </w:p>
    <w:p w14:paraId="790407B8">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按照</w:t>
      </w:r>
      <w:r>
        <w:rPr>
          <w:rFonts w:hint="eastAsia" w:ascii="Times New Roman" w:hAnsi="Times New Roman" w:eastAsia="方正仿宋_GBK" w:cs="Times New Roman"/>
          <w:b w:val="0"/>
          <w:bCs w:val="0"/>
          <w:strike w:val="0"/>
          <w:color w:val="auto"/>
          <w:kern w:val="0"/>
          <w:sz w:val="32"/>
          <w:szCs w:val="32"/>
          <w:highlight w:val="none"/>
          <w:lang w:val="en-US" w:eastAsia="zh-CN"/>
        </w:rPr>
        <w:t>规定</w:t>
      </w:r>
      <w:r>
        <w:rPr>
          <w:rFonts w:hint="eastAsia" w:ascii="Times New Roman" w:hAnsi="Times New Roman" w:eastAsia="方正仿宋_GBK" w:cs="Times New Roman"/>
          <w:b w:val="0"/>
          <w:bCs w:val="0"/>
          <w:color w:val="auto"/>
          <w:kern w:val="0"/>
          <w:sz w:val="32"/>
          <w:szCs w:val="32"/>
          <w:highlight w:val="none"/>
        </w:rPr>
        <w:t>向电力交易机构提交履约保函</w:t>
      </w:r>
      <w:r>
        <w:rPr>
          <w:rFonts w:hint="eastAsia" w:ascii="Times New Roman" w:hAnsi="Times New Roman" w:eastAsia="方正仿宋_GBK" w:cs="Times New Roman"/>
          <w:b w:val="0"/>
          <w:bCs w:val="0"/>
          <w:color w:val="auto"/>
          <w:kern w:val="0"/>
          <w:sz w:val="32"/>
          <w:szCs w:val="32"/>
          <w:highlight w:val="none"/>
        </w:rPr>
        <w:t>、保证金或其他结算担保品</w:t>
      </w:r>
      <w:r>
        <w:rPr>
          <w:rFonts w:hint="eastAsia" w:ascii="Times New Roman" w:hAnsi="Times New Roman" w:eastAsia="方正仿宋_GBK" w:cs="Times New Roman"/>
          <w:b w:val="0"/>
          <w:bCs w:val="0"/>
          <w:color w:val="auto"/>
          <w:kern w:val="0"/>
          <w:sz w:val="32"/>
          <w:szCs w:val="32"/>
          <w:highlight w:val="none"/>
          <w:lang w:eastAsia="zh-CN"/>
        </w:rPr>
        <w:t>；</w:t>
      </w:r>
    </w:p>
    <w:p w14:paraId="6BEFBCBB">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六</w:t>
      </w:r>
      <w:r>
        <w:rPr>
          <w:rFonts w:hint="eastAsia" w:ascii="Times New Roman" w:hAnsi="Times New Roman" w:eastAsia="方正仿宋_GBK" w:cs="Times New Roman"/>
          <w:b w:val="0"/>
          <w:bCs w:val="0"/>
          <w:color w:val="auto"/>
          <w:kern w:val="0"/>
          <w:sz w:val="32"/>
          <w:szCs w:val="32"/>
          <w:highlight w:val="none"/>
        </w:rPr>
        <w:t>）依法依规提供相关市场信息</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执行信息披露有关规定</w:t>
      </w:r>
      <w:r>
        <w:rPr>
          <w:rFonts w:hint="eastAsia" w:ascii="Times New Roman" w:hAnsi="Times New Roman" w:eastAsia="方正仿宋_GBK" w:cs="Times New Roman"/>
          <w:b w:val="0"/>
          <w:bCs w:val="0"/>
          <w:color w:val="auto"/>
          <w:kern w:val="0"/>
          <w:sz w:val="32"/>
          <w:szCs w:val="32"/>
          <w:highlight w:val="none"/>
          <w:lang w:val="en-US" w:eastAsia="zh-CN"/>
        </w:rPr>
        <w:t>；</w:t>
      </w:r>
    </w:p>
    <w:p w14:paraId="67425D3A">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七</w:t>
      </w:r>
      <w:r>
        <w:rPr>
          <w:rFonts w:hint="eastAsia" w:ascii="Times New Roman" w:hAnsi="Times New Roman" w:eastAsia="方正仿宋_GBK" w:cs="Times New Roman"/>
          <w:b w:val="0"/>
          <w:bCs w:val="0"/>
          <w:color w:val="auto"/>
          <w:kern w:val="0"/>
          <w:sz w:val="32"/>
          <w:szCs w:val="32"/>
          <w:highlight w:val="none"/>
        </w:rPr>
        <w:t>）依法依规履行</w:t>
      </w:r>
      <w:r>
        <w:rPr>
          <w:rFonts w:hint="eastAsia" w:ascii="Times New Roman" w:hAnsi="Times New Roman" w:eastAsia="方正仿宋_GBK" w:cs="Times New Roman"/>
          <w:b w:val="0"/>
          <w:bCs w:val="0"/>
          <w:color w:val="auto"/>
          <w:kern w:val="0"/>
          <w:sz w:val="32"/>
          <w:szCs w:val="32"/>
          <w:highlight w:val="none"/>
          <w:lang w:val="en-US" w:eastAsia="zh-CN"/>
        </w:rPr>
        <w:t>可再生能源</w:t>
      </w:r>
      <w:r>
        <w:rPr>
          <w:rFonts w:hint="eastAsia" w:ascii="Times New Roman" w:hAnsi="Times New Roman" w:eastAsia="方正仿宋_GBK" w:cs="Times New Roman"/>
          <w:b w:val="0"/>
          <w:bCs w:val="0"/>
          <w:color w:val="auto"/>
          <w:kern w:val="0"/>
          <w:sz w:val="32"/>
          <w:szCs w:val="32"/>
          <w:highlight w:val="none"/>
        </w:rPr>
        <w:t>消纳责任</w:t>
      </w:r>
      <w:r>
        <w:rPr>
          <w:rFonts w:hint="eastAsia" w:ascii="Times New Roman" w:hAnsi="Times New Roman" w:eastAsia="方正仿宋_GBK" w:cs="Times New Roman"/>
          <w:b w:val="0"/>
          <w:bCs w:val="0"/>
          <w:color w:val="auto"/>
          <w:kern w:val="0"/>
          <w:sz w:val="32"/>
          <w:szCs w:val="32"/>
          <w:highlight w:val="none"/>
          <w:lang w:eastAsia="zh-CN"/>
        </w:rPr>
        <w:t>；</w:t>
      </w:r>
    </w:p>
    <w:p w14:paraId="28F75529">
      <w:pPr>
        <w:widowControl/>
        <w:adjustRightInd w:val="0"/>
        <w:snapToGrid w:val="0"/>
        <w:spacing w:line="588" w:lineRule="exact"/>
        <w:ind w:firstLine="640" w:firstLineChars="200"/>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八</w:t>
      </w:r>
      <w:r>
        <w:rPr>
          <w:rFonts w:hint="eastAsia" w:ascii="Times New Roman" w:hAnsi="Times New Roman" w:eastAsia="方正仿宋_GBK" w:cs="Times New Roman"/>
          <w:b w:val="0"/>
          <w:bCs w:val="0"/>
          <w:color w:val="auto"/>
          <w:kern w:val="0"/>
          <w:sz w:val="32"/>
          <w:szCs w:val="32"/>
          <w:highlight w:val="none"/>
        </w:rPr>
        <w:t>）具备满足参与</w:t>
      </w:r>
      <w:r>
        <w:rPr>
          <w:rFonts w:hint="eastAsia" w:ascii="Times New Roman" w:hAnsi="Times New Roman" w:eastAsia="方正仿宋_GBK" w:cs="Times New Roman"/>
          <w:b w:val="0"/>
          <w:bCs w:val="0"/>
          <w:color w:val="auto"/>
          <w:kern w:val="0"/>
          <w:sz w:val="32"/>
          <w:szCs w:val="32"/>
          <w:highlight w:val="none"/>
          <w:lang w:val="en-US" w:eastAsia="zh-CN"/>
        </w:rPr>
        <w:t>电力中长期市场</w:t>
      </w:r>
      <w:r>
        <w:rPr>
          <w:rFonts w:hint="eastAsia" w:ascii="Times New Roman" w:hAnsi="Times New Roman" w:eastAsia="方正仿宋_GBK" w:cs="Times New Roman"/>
          <w:b w:val="0"/>
          <w:bCs w:val="0"/>
          <w:color w:val="auto"/>
          <w:kern w:val="0"/>
          <w:sz w:val="32"/>
          <w:szCs w:val="32"/>
          <w:highlight w:val="none"/>
        </w:rPr>
        <w:t>要求的技术支持手段</w:t>
      </w:r>
      <w:r>
        <w:rPr>
          <w:rFonts w:hint="eastAsia" w:ascii="Times New Roman" w:hAnsi="Times New Roman" w:eastAsia="方正仿宋_GBK" w:cs="Times New Roman"/>
          <w:b w:val="0"/>
          <w:bCs w:val="0"/>
          <w:color w:val="auto"/>
          <w:kern w:val="0"/>
          <w:sz w:val="32"/>
          <w:szCs w:val="32"/>
          <w:highlight w:val="none"/>
          <w:lang w:eastAsia="zh-CN"/>
        </w:rPr>
        <w:t>；</w:t>
      </w:r>
    </w:p>
    <w:p w14:paraId="0F28E494">
      <w:pPr>
        <w:widowControl/>
        <w:adjustRightInd w:val="0"/>
        <w:snapToGrid w:val="0"/>
        <w:spacing w:line="588" w:lineRule="exact"/>
        <w:ind w:firstLine="640" w:firstLineChars="200"/>
        <w:rPr>
          <w:rFonts w:hint="eastAsia" w:ascii="Times New Roman" w:hAnsi="Times New Roman" w:cs="Times New Roman"/>
          <w:b w:val="0"/>
          <w:bCs w:val="0"/>
          <w:color w:val="auto"/>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九</w:t>
      </w:r>
      <w:r>
        <w:rPr>
          <w:rFonts w:hint="eastAsia" w:ascii="Times New Roman" w:hAnsi="Times New Roman" w:eastAsia="方正仿宋_GBK" w:cs="Times New Roman"/>
          <w:b w:val="0"/>
          <w:bCs w:val="0"/>
          <w:color w:val="auto"/>
          <w:kern w:val="0"/>
          <w:sz w:val="32"/>
          <w:szCs w:val="32"/>
          <w:highlight w:val="none"/>
        </w:rPr>
        <w:t>）法律法规规定的其他义务。</w:t>
      </w:r>
    </w:p>
    <w:p w14:paraId="78DED833">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电力</w:t>
      </w:r>
      <w:r>
        <w:rPr>
          <w:rFonts w:hint="eastAsia" w:ascii="Times New Roman" w:hAnsi="Times New Roman" w:eastAsia="方正仿宋_GBK" w:cs="Times New Roman"/>
          <w:b w:val="0"/>
          <w:bCs w:val="0"/>
          <w:color w:val="auto"/>
          <w:kern w:val="0"/>
          <w:sz w:val="32"/>
          <w:szCs w:val="32"/>
          <w:highlight w:val="none"/>
        </w:rPr>
        <w:t>用户的义务主要包括：</w:t>
      </w:r>
    </w:p>
    <w:p w14:paraId="5064ABEE">
      <w:pPr>
        <w:pageBreakBefore w:val="0"/>
        <w:widowControl/>
        <w:numPr>
          <w:ilvl w:val="0"/>
          <w:numId w:val="5"/>
        </w:numPr>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按照规则参与</w:t>
      </w:r>
      <w:r>
        <w:rPr>
          <w:rFonts w:hint="eastAsia" w:ascii="Times New Roman" w:hAnsi="Times New Roman" w:eastAsia="方正仿宋_GBK" w:cs="Times New Roman"/>
          <w:b w:val="0"/>
          <w:bCs w:val="0"/>
          <w:color w:val="auto"/>
          <w:kern w:val="0"/>
          <w:sz w:val="32"/>
          <w:szCs w:val="32"/>
          <w:highlight w:val="none"/>
          <w:lang w:val="en-US" w:eastAsia="zh-CN"/>
        </w:rPr>
        <w:t>电力中长期</w:t>
      </w:r>
      <w:r>
        <w:rPr>
          <w:rFonts w:hint="eastAsia" w:ascii="Times New Roman" w:hAnsi="Times New Roman" w:eastAsia="方正仿宋_GBK" w:cs="Times New Roman"/>
          <w:b w:val="0"/>
          <w:bCs w:val="0"/>
          <w:color w:val="auto"/>
          <w:kern w:val="0"/>
          <w:sz w:val="32"/>
          <w:szCs w:val="32"/>
          <w:highlight w:val="none"/>
          <w:lang w:val="en-US" w:eastAsia="zh-CN"/>
        </w:rPr>
        <w:t>市场</w:t>
      </w:r>
      <w:r>
        <w:rPr>
          <w:rFonts w:hint="eastAsia" w:ascii="Times New Roman" w:hAnsi="Times New Roman" w:eastAsia="方正仿宋_GBK" w:cs="Times New Roman"/>
          <w:b w:val="0"/>
          <w:bCs w:val="0"/>
          <w:color w:val="auto"/>
          <w:kern w:val="0"/>
          <w:sz w:val="32"/>
          <w:szCs w:val="32"/>
          <w:highlight w:val="none"/>
        </w:rPr>
        <w:t>，签订</w:t>
      </w:r>
      <w:r>
        <w:rPr>
          <w:rFonts w:hint="eastAsia" w:ascii="Times New Roman" w:hAnsi="Times New Roman" w:eastAsia="方正仿宋_GBK" w:cs="Times New Roman"/>
          <w:b w:val="0"/>
          <w:bCs w:val="0"/>
          <w:color w:val="auto"/>
          <w:kern w:val="0"/>
          <w:sz w:val="32"/>
          <w:szCs w:val="32"/>
          <w:highlight w:val="none"/>
          <w:lang w:eastAsia="zh-CN"/>
        </w:rPr>
        <w:t>并履行</w:t>
      </w:r>
      <w:r>
        <w:rPr>
          <w:rFonts w:hint="eastAsia" w:ascii="Times New Roman" w:hAnsi="Times New Roman" w:eastAsia="方正仿宋_GBK" w:cs="Times New Roman"/>
          <w:b w:val="0"/>
          <w:bCs w:val="0"/>
          <w:color w:val="auto"/>
          <w:kern w:val="0"/>
          <w:sz w:val="32"/>
          <w:szCs w:val="32"/>
          <w:highlight w:val="none"/>
        </w:rPr>
        <w:t>各类电力交易合同，按时完成电费结算</w:t>
      </w:r>
      <w:r>
        <w:rPr>
          <w:rFonts w:hint="eastAsia" w:ascii="Times New Roman" w:hAnsi="Times New Roman" w:eastAsia="方正仿宋_GBK" w:cs="Times New Roman"/>
          <w:b w:val="0"/>
          <w:bCs w:val="0"/>
          <w:color w:val="auto"/>
          <w:kern w:val="0"/>
          <w:sz w:val="32"/>
          <w:szCs w:val="32"/>
          <w:highlight w:val="none"/>
          <w:lang w:eastAsia="zh-CN"/>
        </w:rPr>
        <w:t>，按规定支付电费；</w:t>
      </w:r>
    </w:p>
    <w:p w14:paraId="6580005A">
      <w:pPr>
        <w:pageBreakBefore w:val="0"/>
        <w:widowControl/>
        <w:numPr>
          <w:ilvl w:val="0"/>
          <w:numId w:val="5"/>
        </w:numPr>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按照规则向电力交易机构</w:t>
      </w:r>
      <w:r>
        <w:rPr>
          <w:rFonts w:hint="eastAsia" w:ascii="Times New Roman" w:hAnsi="Times New Roman" w:eastAsia="方正仿宋_GBK" w:cs="Times New Roman"/>
          <w:b w:val="0"/>
          <w:bCs w:val="0"/>
          <w:color w:val="auto"/>
          <w:kern w:val="0"/>
          <w:sz w:val="32"/>
          <w:szCs w:val="32"/>
          <w:highlight w:val="none"/>
          <w:lang w:val="en-US" w:eastAsia="zh-CN"/>
        </w:rPr>
        <w:t>提供交易电力电量需求、典型负荷曲线及其他信息</w:t>
      </w:r>
      <w:r>
        <w:rPr>
          <w:rFonts w:hint="eastAsia" w:ascii="Times New Roman" w:hAnsi="Times New Roman" w:eastAsia="方正仿宋_GBK" w:cs="Times New Roman"/>
          <w:b w:val="0"/>
          <w:bCs w:val="0"/>
          <w:color w:val="auto"/>
          <w:kern w:val="0"/>
          <w:sz w:val="32"/>
          <w:szCs w:val="32"/>
          <w:highlight w:val="none"/>
          <w:lang w:eastAsia="zh-CN"/>
        </w:rPr>
        <w:t>；</w:t>
      </w:r>
    </w:p>
    <w:p w14:paraId="5D55453F">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rPr>
        <w:t>）依法依规提供相关</w:t>
      </w:r>
      <w:r>
        <w:rPr>
          <w:rFonts w:hint="eastAsia" w:ascii="Times New Roman" w:hAnsi="Times New Roman" w:eastAsia="方正仿宋_GBK" w:cs="Times New Roman"/>
          <w:b w:val="0"/>
          <w:bCs w:val="0"/>
          <w:color w:val="auto"/>
          <w:kern w:val="0"/>
          <w:sz w:val="32"/>
          <w:szCs w:val="32"/>
          <w:highlight w:val="none"/>
          <w:lang w:val="en-US" w:eastAsia="zh-CN"/>
        </w:rPr>
        <w:t>市场</w:t>
      </w:r>
      <w:r>
        <w:rPr>
          <w:rFonts w:hint="eastAsia" w:ascii="Times New Roman" w:hAnsi="Times New Roman" w:eastAsia="方正仿宋_GBK" w:cs="Times New Roman"/>
          <w:b w:val="0"/>
          <w:bCs w:val="0"/>
          <w:color w:val="auto"/>
          <w:kern w:val="0"/>
          <w:sz w:val="32"/>
          <w:szCs w:val="32"/>
          <w:highlight w:val="none"/>
        </w:rPr>
        <w:t>信息</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执行信息披露有关规定</w:t>
      </w:r>
      <w:r>
        <w:rPr>
          <w:rFonts w:hint="eastAsia" w:ascii="Times New Roman" w:hAnsi="Times New Roman" w:eastAsia="方正仿宋_GBK" w:cs="Times New Roman"/>
          <w:b w:val="0"/>
          <w:bCs w:val="0"/>
          <w:color w:val="auto"/>
          <w:kern w:val="0"/>
          <w:sz w:val="32"/>
          <w:szCs w:val="32"/>
          <w:highlight w:val="none"/>
          <w:lang w:val="en-US" w:eastAsia="zh-CN"/>
        </w:rPr>
        <w:t>；</w:t>
      </w:r>
    </w:p>
    <w:p w14:paraId="0F34E383">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rPr>
        <w:t>）依法依规履行可再生能源消纳责任</w:t>
      </w:r>
      <w:r>
        <w:rPr>
          <w:rFonts w:hint="eastAsia" w:ascii="Times New Roman" w:hAnsi="Times New Roman" w:eastAsia="方正仿宋_GBK" w:cs="Times New Roman"/>
          <w:b w:val="0"/>
          <w:bCs w:val="0"/>
          <w:color w:val="auto"/>
          <w:kern w:val="0"/>
          <w:sz w:val="32"/>
          <w:szCs w:val="32"/>
          <w:highlight w:val="none"/>
          <w:lang w:eastAsia="zh-CN"/>
        </w:rPr>
        <w:t>；</w:t>
      </w:r>
    </w:p>
    <w:p w14:paraId="7BB12E7C">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rPr>
        <w:t>）法律法规规定的其他义务。</w:t>
      </w:r>
    </w:p>
    <w:p w14:paraId="7AB50C43">
      <w:pPr>
        <w:pageBreakBefore w:val="0"/>
        <w:widowControl/>
        <w:numPr>
          <w:ilvl w:val="0"/>
          <w:numId w:val="4"/>
        </w:numPr>
        <w:kinsoku/>
        <w:wordWrap/>
        <w:overflowPunct/>
        <w:topLinePunct w:val="0"/>
        <w:autoSpaceDE/>
        <w:autoSpaceDN/>
        <w:bidi w:val="0"/>
        <w:adjustRightInd w:val="0"/>
        <w:snapToGrid w:val="0"/>
        <w:spacing w:line="588" w:lineRule="exact"/>
        <w:ind w:left="-13" w:firstLine="640" w:firstLineChars="0"/>
        <w:jc w:val="both"/>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新型经营主体的义务主要包括：</w:t>
      </w:r>
    </w:p>
    <w:p w14:paraId="266F4A55">
      <w:pPr>
        <w:pageBreakBefore w:val="0"/>
        <w:widowControl/>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满足</w:t>
      </w:r>
      <w:r>
        <w:rPr>
          <w:rFonts w:hint="eastAsia" w:ascii="Times New Roman" w:hAnsi="Times New Roman" w:eastAsia="方正仿宋_GBK" w:cs="Times New Roman"/>
          <w:b w:val="0"/>
          <w:bCs w:val="0"/>
          <w:color w:val="auto"/>
          <w:kern w:val="0"/>
          <w:sz w:val="32"/>
          <w:szCs w:val="32"/>
          <w:highlight w:val="none"/>
          <w:lang w:val="en-US" w:eastAsia="zh-CN"/>
        </w:rPr>
        <w:t>对应类型经营主体</w:t>
      </w:r>
      <w:r>
        <w:rPr>
          <w:rFonts w:hint="eastAsia" w:ascii="Times New Roman" w:hAnsi="Times New Roman" w:eastAsia="方正仿宋_GBK" w:cs="Times New Roman"/>
          <w:b w:val="0"/>
          <w:bCs w:val="0"/>
          <w:color w:val="auto"/>
          <w:kern w:val="0"/>
          <w:sz w:val="32"/>
          <w:szCs w:val="32"/>
          <w:highlight w:val="none"/>
        </w:rPr>
        <w:t>参与电力市场的技术条件</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rPr>
        <w:t>按照规则参与</w:t>
      </w:r>
      <w:r>
        <w:rPr>
          <w:rFonts w:hint="eastAsia" w:ascii="Times New Roman" w:hAnsi="Times New Roman" w:eastAsia="方正仿宋_GBK" w:cs="Times New Roman"/>
          <w:b w:val="0"/>
          <w:bCs w:val="0"/>
          <w:strike w:val="0"/>
          <w:color w:val="auto"/>
          <w:kern w:val="0"/>
          <w:sz w:val="32"/>
          <w:szCs w:val="32"/>
          <w:highlight w:val="none"/>
          <w:lang w:val="en-US" w:eastAsia="zh-CN"/>
        </w:rPr>
        <w:t>电力中长期</w:t>
      </w:r>
      <w:r>
        <w:rPr>
          <w:rFonts w:hint="eastAsia" w:ascii="Times New Roman" w:hAnsi="Times New Roman" w:eastAsia="方正仿宋_GBK" w:cs="Times New Roman"/>
          <w:b w:val="0"/>
          <w:bCs w:val="0"/>
          <w:strike w:val="0"/>
          <w:color w:val="auto"/>
          <w:kern w:val="0"/>
          <w:sz w:val="32"/>
          <w:szCs w:val="32"/>
          <w:highlight w:val="none"/>
          <w:lang w:val="en-US" w:eastAsia="zh-CN"/>
        </w:rPr>
        <w:t>市场</w:t>
      </w:r>
      <w:r>
        <w:rPr>
          <w:rFonts w:hint="eastAsia" w:ascii="Times New Roman" w:hAnsi="Times New Roman" w:eastAsia="方正仿宋_GBK" w:cs="Times New Roman"/>
          <w:b w:val="0"/>
          <w:bCs w:val="0"/>
          <w:strike w:val="0"/>
          <w:color w:val="auto"/>
          <w:kern w:val="0"/>
          <w:sz w:val="32"/>
          <w:szCs w:val="32"/>
          <w:highlight w:val="none"/>
        </w:rPr>
        <w:t>，签订</w:t>
      </w:r>
      <w:r>
        <w:rPr>
          <w:rFonts w:hint="eastAsia" w:ascii="Times New Roman" w:hAnsi="Times New Roman" w:eastAsia="方正仿宋_GBK" w:cs="Times New Roman"/>
          <w:b w:val="0"/>
          <w:bCs w:val="0"/>
          <w:strike w:val="0"/>
          <w:color w:val="auto"/>
          <w:kern w:val="0"/>
          <w:sz w:val="32"/>
          <w:szCs w:val="32"/>
          <w:highlight w:val="none"/>
          <w:lang w:eastAsia="zh-CN"/>
        </w:rPr>
        <w:t>并履行</w:t>
      </w:r>
      <w:r>
        <w:rPr>
          <w:rFonts w:hint="eastAsia" w:ascii="Times New Roman" w:hAnsi="Times New Roman" w:eastAsia="方正仿宋_GBK" w:cs="Times New Roman"/>
          <w:b w:val="0"/>
          <w:bCs w:val="0"/>
          <w:strike w:val="0"/>
          <w:color w:val="auto"/>
          <w:kern w:val="0"/>
          <w:sz w:val="32"/>
          <w:szCs w:val="32"/>
          <w:highlight w:val="none"/>
        </w:rPr>
        <w:t>各类电力交易合同</w:t>
      </w:r>
      <w:r>
        <w:rPr>
          <w:rFonts w:hint="eastAsia" w:ascii="Times New Roman" w:hAnsi="Times New Roman" w:eastAsia="方正仿宋_GBK" w:cs="Times New Roman"/>
          <w:b w:val="0"/>
          <w:bCs w:val="0"/>
          <w:strike w:val="0"/>
          <w:color w:val="auto"/>
          <w:kern w:val="0"/>
          <w:sz w:val="32"/>
          <w:szCs w:val="32"/>
          <w:highlight w:val="none"/>
          <w:lang w:eastAsia="zh-CN"/>
        </w:rPr>
        <w:t>；</w:t>
      </w:r>
    </w:p>
    <w:p w14:paraId="22BFB5F2">
      <w:pPr>
        <w:pageBreakBefore w:val="0"/>
        <w:widowControl/>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rPr>
      </w:pPr>
      <w:r>
        <w:rPr>
          <w:rFonts w:hint="default"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Hans"/>
        </w:rPr>
        <w:t>二</w:t>
      </w:r>
      <w:r>
        <w:rPr>
          <w:rFonts w:hint="default"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Hans"/>
        </w:rPr>
        <w:t>虚拟电厂</w:t>
      </w:r>
      <w:r>
        <w:rPr>
          <w:rFonts w:hint="default" w:ascii="Times New Roman" w:hAnsi="Times New Roman" w:eastAsia="方正仿宋_GBK" w:cs="Times New Roman"/>
          <w:b w:val="0"/>
          <w:bCs w:val="0"/>
          <w:color w:val="auto"/>
          <w:kern w:val="0"/>
          <w:sz w:val="32"/>
          <w:szCs w:val="32"/>
          <w:highlight w:val="none"/>
          <w:lang w:eastAsia="zh-Hans"/>
        </w:rPr>
        <w:t>、</w:t>
      </w:r>
      <w:r>
        <w:rPr>
          <w:rFonts w:hint="eastAsia" w:ascii="Times New Roman" w:hAnsi="Times New Roman" w:eastAsia="方正仿宋_GBK" w:cs="Times New Roman"/>
          <w:b w:val="0"/>
          <w:bCs w:val="0"/>
          <w:color w:val="auto"/>
          <w:kern w:val="0"/>
          <w:sz w:val="32"/>
          <w:szCs w:val="32"/>
          <w:highlight w:val="none"/>
          <w:lang w:val="en-US" w:eastAsia="zh-Hans"/>
        </w:rPr>
        <w:t>负荷聚合商</w:t>
      </w:r>
      <w:r>
        <w:rPr>
          <w:rFonts w:hint="eastAsia" w:ascii="Times New Roman" w:hAnsi="Times New Roman" w:eastAsia="方正仿宋_GBK" w:cs="Times New Roman"/>
          <w:b w:val="0"/>
          <w:bCs w:val="0"/>
          <w:color w:val="auto"/>
          <w:kern w:val="0"/>
          <w:sz w:val="32"/>
          <w:szCs w:val="32"/>
          <w:highlight w:val="none"/>
          <w:lang w:val="en-US" w:eastAsia="zh-CN"/>
        </w:rPr>
        <w:t>、智能微电网与所聚合的资源签订零售合同（或聚合合同），在电力交易平台建立零售服务或聚合关系，</w:t>
      </w:r>
      <w:r>
        <w:rPr>
          <w:rFonts w:hint="eastAsia" w:ascii="Times New Roman" w:hAnsi="Times New Roman" w:eastAsia="方正仿宋_GBK" w:cs="Times New Roman"/>
          <w:b w:val="0"/>
          <w:bCs w:val="0"/>
          <w:color w:val="auto"/>
          <w:kern w:val="0"/>
          <w:sz w:val="32"/>
          <w:szCs w:val="32"/>
          <w:highlight w:val="none"/>
        </w:rPr>
        <w:t>并履行合同规定的各项义务</w:t>
      </w:r>
      <w:r>
        <w:rPr>
          <w:rFonts w:hint="eastAsia" w:ascii="Times New Roman" w:hAnsi="Times New Roman" w:eastAsia="方正仿宋_GBK" w:cs="Times New Roman"/>
          <w:b w:val="0"/>
          <w:bCs w:val="0"/>
          <w:color w:val="auto"/>
          <w:kern w:val="0"/>
          <w:sz w:val="32"/>
          <w:szCs w:val="32"/>
          <w:highlight w:val="none"/>
          <w:lang w:val="en-US" w:eastAsia="zh-CN"/>
        </w:rPr>
        <w:t>；</w:t>
      </w:r>
    </w:p>
    <w:p w14:paraId="1BF37904">
      <w:pPr>
        <w:pageBreakBefore w:val="0"/>
        <w:widowControl/>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rPr>
      </w:pPr>
      <w:r>
        <w:rPr>
          <w:rFonts w:hint="default"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Hans"/>
        </w:rPr>
        <w:t>三</w:t>
      </w:r>
      <w:r>
        <w:rPr>
          <w:rFonts w:hint="default"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Hans"/>
        </w:rPr>
        <w:t>虚拟电厂</w:t>
      </w:r>
      <w:r>
        <w:rPr>
          <w:rFonts w:hint="default" w:ascii="Times New Roman" w:hAnsi="Times New Roman" w:eastAsia="方正仿宋_GBK" w:cs="Times New Roman"/>
          <w:b w:val="0"/>
          <w:bCs w:val="0"/>
          <w:color w:val="auto"/>
          <w:kern w:val="0"/>
          <w:sz w:val="32"/>
          <w:szCs w:val="32"/>
          <w:highlight w:val="none"/>
          <w:lang w:eastAsia="zh-Hans"/>
        </w:rPr>
        <w:t>、</w:t>
      </w:r>
      <w:r>
        <w:rPr>
          <w:rFonts w:hint="eastAsia" w:ascii="Times New Roman" w:hAnsi="Times New Roman" w:eastAsia="方正仿宋_GBK" w:cs="Times New Roman"/>
          <w:b w:val="0"/>
          <w:bCs w:val="0"/>
          <w:color w:val="auto"/>
          <w:kern w:val="0"/>
          <w:sz w:val="32"/>
          <w:szCs w:val="32"/>
          <w:highlight w:val="none"/>
          <w:lang w:val="en-US" w:eastAsia="zh-Hans"/>
        </w:rPr>
        <w:t>负荷聚合商</w:t>
      </w:r>
      <w:r>
        <w:rPr>
          <w:rFonts w:hint="eastAsia" w:ascii="Times New Roman" w:hAnsi="Times New Roman" w:eastAsia="方正仿宋_GBK" w:cs="Times New Roman"/>
          <w:b w:val="0"/>
          <w:bCs w:val="0"/>
          <w:color w:val="auto"/>
          <w:kern w:val="0"/>
          <w:sz w:val="32"/>
          <w:szCs w:val="32"/>
          <w:highlight w:val="none"/>
          <w:lang w:val="en-US" w:eastAsia="zh-CN"/>
        </w:rPr>
        <w:t>、</w:t>
      </w:r>
      <w:r>
        <w:rPr>
          <w:rFonts w:hint="eastAsia" w:ascii="Times New Roman" w:hAnsi="Times New Roman" w:eastAsia="方正仿宋_GBK" w:cs="Times New Roman"/>
          <w:b w:val="0"/>
          <w:bCs w:val="0"/>
          <w:color w:val="auto"/>
          <w:kern w:val="0"/>
          <w:sz w:val="32"/>
          <w:szCs w:val="32"/>
          <w:highlight w:val="none"/>
          <w:lang w:val="en-US" w:eastAsia="zh-Hans"/>
        </w:rPr>
        <w:t>智能微电网</w:t>
      </w:r>
      <w:r>
        <w:rPr>
          <w:rFonts w:hint="eastAsia" w:ascii="Times New Roman" w:hAnsi="Times New Roman" w:eastAsia="方正仿宋_GBK" w:cs="Times New Roman"/>
          <w:b w:val="0"/>
          <w:bCs w:val="0"/>
          <w:color w:val="auto"/>
          <w:kern w:val="0"/>
          <w:sz w:val="32"/>
          <w:szCs w:val="32"/>
          <w:highlight w:val="none"/>
          <w:lang w:val="en-US" w:eastAsia="zh-CN"/>
        </w:rPr>
        <w:t>等资源聚合类新型经营主体</w:t>
      </w:r>
      <w:r>
        <w:rPr>
          <w:rFonts w:hint="eastAsia" w:ascii="Times New Roman" w:hAnsi="Times New Roman" w:eastAsia="方正仿宋_GBK" w:cs="Times New Roman"/>
          <w:b w:val="0"/>
          <w:bCs w:val="0"/>
          <w:color w:val="auto"/>
          <w:kern w:val="0"/>
          <w:sz w:val="32"/>
          <w:szCs w:val="32"/>
          <w:highlight w:val="none"/>
          <w:lang w:val="en-US" w:eastAsia="zh-Hans"/>
        </w:rPr>
        <w:t>应</w:t>
      </w:r>
      <w:r>
        <w:rPr>
          <w:rFonts w:hint="eastAsia" w:ascii="Times New Roman" w:hAnsi="Times New Roman" w:eastAsia="方正仿宋_GBK" w:cs="Times New Roman"/>
          <w:b w:val="0"/>
          <w:bCs w:val="0"/>
          <w:color w:val="auto"/>
          <w:kern w:val="0"/>
          <w:sz w:val="32"/>
          <w:szCs w:val="32"/>
          <w:highlight w:val="none"/>
          <w:lang w:val="en-US" w:eastAsia="zh-CN"/>
        </w:rPr>
        <w:t>具备对聚合资源信息处理、运行监控、业务管理、计量监管、控制执行等能力；</w:t>
      </w:r>
    </w:p>
    <w:p w14:paraId="1258DFDA">
      <w:pPr>
        <w:widowControl/>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按照规则向电力交易机构、电力调度机构提供</w:t>
      </w:r>
      <w:r>
        <w:rPr>
          <w:rFonts w:hint="eastAsia" w:ascii="Times New Roman" w:hAnsi="Times New Roman" w:eastAsia="方正仿宋_GBK" w:cs="Times New Roman"/>
          <w:b w:val="0"/>
          <w:bCs w:val="0"/>
          <w:color w:val="auto"/>
          <w:kern w:val="0"/>
          <w:sz w:val="32"/>
          <w:szCs w:val="32"/>
          <w:highlight w:val="none"/>
          <w:lang w:val="en-US" w:eastAsia="zh-Hans"/>
        </w:rPr>
        <w:t>合同周期内</w:t>
      </w:r>
      <w:r>
        <w:rPr>
          <w:rFonts w:hint="eastAsia" w:ascii="Times New Roman" w:hAnsi="Times New Roman" w:eastAsia="方正仿宋_GBK" w:cs="Times New Roman"/>
          <w:b w:val="0"/>
          <w:bCs w:val="0"/>
          <w:color w:val="auto"/>
          <w:kern w:val="0"/>
          <w:sz w:val="32"/>
          <w:szCs w:val="32"/>
          <w:highlight w:val="none"/>
        </w:rPr>
        <w:t>签约</w:t>
      </w:r>
      <w:r>
        <w:rPr>
          <w:rFonts w:hint="eastAsia" w:ascii="Times New Roman" w:hAnsi="Times New Roman" w:eastAsia="方正仿宋_GBK" w:cs="Times New Roman"/>
          <w:b w:val="0"/>
          <w:bCs w:val="0"/>
          <w:color w:val="auto"/>
          <w:kern w:val="0"/>
          <w:sz w:val="32"/>
          <w:szCs w:val="32"/>
          <w:highlight w:val="none"/>
          <w:lang w:val="en-US" w:eastAsia="zh-CN"/>
        </w:rPr>
        <w:t>聚合资源</w:t>
      </w:r>
      <w:r>
        <w:rPr>
          <w:rFonts w:hint="eastAsia" w:ascii="Times New Roman" w:hAnsi="Times New Roman" w:eastAsia="方正仿宋_GBK" w:cs="Times New Roman"/>
          <w:b w:val="0"/>
          <w:bCs w:val="0"/>
          <w:color w:val="auto"/>
          <w:kern w:val="0"/>
          <w:sz w:val="32"/>
          <w:szCs w:val="32"/>
          <w:highlight w:val="none"/>
        </w:rPr>
        <w:t>的交易电力电量需求、典型负荷曲线以及其他信息，承担用户信息保密义务</w:t>
      </w:r>
      <w:r>
        <w:rPr>
          <w:rFonts w:hint="eastAsia" w:ascii="Times New Roman" w:hAnsi="Times New Roman" w:eastAsia="方正仿宋_GBK" w:cs="Times New Roman"/>
          <w:b w:val="0"/>
          <w:bCs w:val="0"/>
          <w:color w:val="auto"/>
          <w:kern w:val="0"/>
          <w:sz w:val="32"/>
          <w:szCs w:val="32"/>
          <w:highlight w:val="none"/>
          <w:lang w:eastAsia="zh-CN"/>
        </w:rPr>
        <w:t>；</w:t>
      </w:r>
    </w:p>
    <w:p w14:paraId="54DE15EA">
      <w:pPr>
        <w:pageBreakBefore w:val="0"/>
        <w:widowControl/>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val="en-US" w:eastAsia="zh-CN"/>
        </w:rPr>
        <w:t>（五）与电网企业签订负荷确认协议或并网调度协议，接入新型电力负荷管理系统或电力调度自动化系统；服从电力调度机构的统一调度，按调度指令和合同约定提供辅助服务；</w:t>
      </w:r>
    </w:p>
    <w:p w14:paraId="30E9443A">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六</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按照规则</w:t>
      </w:r>
      <w:r>
        <w:rPr>
          <w:rFonts w:hint="eastAsia" w:ascii="Times New Roman" w:hAnsi="Times New Roman" w:eastAsia="方正仿宋_GBK" w:cs="Times New Roman"/>
          <w:b w:val="0"/>
          <w:bCs w:val="0"/>
          <w:color w:val="auto"/>
          <w:kern w:val="0"/>
          <w:sz w:val="32"/>
          <w:szCs w:val="32"/>
          <w:highlight w:val="none"/>
        </w:rPr>
        <w:t>向电力交易机构提交履约保函</w:t>
      </w:r>
      <w:r>
        <w:rPr>
          <w:rFonts w:hint="eastAsia" w:ascii="Times New Roman" w:hAnsi="Times New Roman" w:eastAsia="方正仿宋_GBK" w:cs="Times New Roman"/>
          <w:b w:val="0"/>
          <w:bCs w:val="0"/>
          <w:color w:val="auto"/>
          <w:kern w:val="0"/>
          <w:sz w:val="32"/>
          <w:szCs w:val="32"/>
          <w:highlight w:val="none"/>
        </w:rPr>
        <w:t>、保证金或其他结算担保品</w:t>
      </w:r>
      <w:r>
        <w:rPr>
          <w:rFonts w:hint="eastAsia" w:ascii="Times New Roman" w:hAnsi="Times New Roman" w:eastAsia="方正仿宋_GBK" w:cs="Times New Roman"/>
          <w:b w:val="0"/>
          <w:bCs w:val="0"/>
          <w:color w:val="auto"/>
          <w:kern w:val="0"/>
          <w:sz w:val="32"/>
          <w:szCs w:val="32"/>
          <w:highlight w:val="none"/>
          <w:lang w:eastAsia="zh-CN"/>
        </w:rPr>
        <w:t>；</w:t>
      </w:r>
    </w:p>
    <w:p w14:paraId="602EB982">
      <w:pPr>
        <w:pageBreakBefore w:val="0"/>
        <w:widowControl/>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七</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依法依规提供相关市场信息</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执行信息披露有关规定</w:t>
      </w:r>
      <w:r>
        <w:rPr>
          <w:rFonts w:hint="eastAsia" w:ascii="Times New Roman" w:hAnsi="Times New Roman" w:eastAsia="方正仿宋_GBK" w:cs="Times New Roman"/>
          <w:b w:val="0"/>
          <w:bCs w:val="0"/>
          <w:color w:val="auto"/>
          <w:kern w:val="0"/>
          <w:sz w:val="32"/>
          <w:szCs w:val="32"/>
          <w:highlight w:val="none"/>
          <w:lang w:val="en-US" w:eastAsia="zh-CN"/>
        </w:rPr>
        <w:t>；</w:t>
      </w:r>
    </w:p>
    <w:p w14:paraId="711F6AE5">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u w:val="none"/>
          <w:lang w:val="en-US" w:eastAsia="zh-CN"/>
        </w:rPr>
      </w:pPr>
      <w:r>
        <w:rPr>
          <w:rFonts w:hint="eastAsia" w:ascii="Times New Roman" w:hAnsi="Times New Roman" w:eastAsia="方正仿宋_GBK" w:cs="Times New Roman"/>
          <w:b w:val="0"/>
          <w:bCs w:val="0"/>
          <w:color w:val="auto"/>
          <w:kern w:val="0"/>
          <w:sz w:val="32"/>
          <w:szCs w:val="32"/>
          <w:highlight w:val="none"/>
          <w:u w:val="none"/>
          <w:lang w:val="en-US" w:eastAsia="zh-CN"/>
        </w:rPr>
        <w:t>（八）对负荷侧资源进行聚合的新型</w:t>
      </w:r>
      <w:r>
        <w:rPr>
          <w:rFonts w:hint="eastAsia" w:ascii="Times New Roman" w:hAnsi="Times New Roman" w:eastAsia="方正仿宋_GBK" w:cs="Times New Roman"/>
          <w:b w:val="0"/>
          <w:bCs w:val="0"/>
          <w:color w:val="auto"/>
          <w:kern w:val="0"/>
          <w:sz w:val="32"/>
          <w:szCs w:val="32"/>
          <w:highlight w:val="none"/>
          <w:u w:val="none"/>
          <w:lang w:val="en-US" w:eastAsia="zh-CN"/>
        </w:rPr>
        <w:t>经营</w:t>
      </w:r>
      <w:r>
        <w:rPr>
          <w:rFonts w:hint="eastAsia" w:ascii="Times New Roman" w:hAnsi="Times New Roman" w:eastAsia="方正仿宋_GBK" w:cs="Times New Roman"/>
          <w:b w:val="0"/>
          <w:bCs w:val="0"/>
          <w:color w:val="auto"/>
          <w:kern w:val="0"/>
          <w:sz w:val="32"/>
          <w:szCs w:val="32"/>
          <w:highlight w:val="none"/>
          <w:u w:val="none"/>
          <w:lang w:val="en-US" w:eastAsia="zh-CN"/>
        </w:rPr>
        <w:t>主体，应</w:t>
      </w:r>
      <w:r>
        <w:rPr>
          <w:rFonts w:hint="eastAsia" w:ascii="Times New Roman" w:hAnsi="Times New Roman" w:eastAsia="方正仿宋_GBK" w:cs="Times New Roman"/>
          <w:b w:val="0"/>
          <w:bCs w:val="0"/>
          <w:color w:val="auto"/>
          <w:kern w:val="0"/>
          <w:sz w:val="32"/>
          <w:szCs w:val="32"/>
          <w:highlight w:val="none"/>
          <w:u w:val="none"/>
        </w:rPr>
        <w:t>依法依规履行可再生能源消纳责任</w:t>
      </w:r>
      <w:r>
        <w:rPr>
          <w:rFonts w:hint="eastAsia" w:ascii="Times New Roman" w:hAnsi="Times New Roman" w:eastAsia="方正仿宋_GBK" w:cs="Times New Roman"/>
          <w:b w:val="0"/>
          <w:bCs w:val="0"/>
          <w:color w:val="auto"/>
          <w:kern w:val="0"/>
          <w:sz w:val="32"/>
          <w:szCs w:val="32"/>
          <w:highlight w:val="none"/>
          <w:u w:val="none"/>
          <w:lang w:eastAsia="zh-CN"/>
        </w:rPr>
        <w:t>；</w:t>
      </w:r>
    </w:p>
    <w:p w14:paraId="52660F63">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val="en-US" w:eastAsia="zh-CN"/>
        </w:rPr>
      </w:pPr>
      <w:r>
        <w:rPr>
          <w:rFonts w:hint="eastAsia" w:ascii="Times New Roman" w:hAnsi="Times New Roman" w:eastAsia="方正仿宋_GBK" w:cs="Times New Roman"/>
          <w:b w:val="0"/>
          <w:bCs w:val="0"/>
          <w:color w:val="auto"/>
          <w:kern w:val="0"/>
          <w:sz w:val="32"/>
          <w:szCs w:val="32"/>
          <w:highlight w:val="none"/>
          <w:lang w:val="en-US" w:eastAsia="zh-CN"/>
        </w:rPr>
        <w:t>（九）法律法规规定的其他义务。</w:t>
      </w:r>
    </w:p>
    <w:p w14:paraId="36705D80">
      <w:pPr>
        <w:pageBreakBefore w:val="0"/>
        <w:widowControl/>
        <w:numPr>
          <w:ilvl w:val="0"/>
          <w:numId w:val="4"/>
        </w:numPr>
        <w:kinsoku/>
        <w:wordWrap/>
        <w:overflowPunct/>
        <w:topLinePunct w:val="0"/>
        <w:autoSpaceDN/>
        <w:bidi w:val="0"/>
        <w:adjustRightInd w:val="0"/>
        <w:snapToGrid w:val="0"/>
        <w:spacing w:line="588" w:lineRule="exact"/>
        <w:ind w:left="-13" w:firstLine="643" w:firstLineChars="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电力调度机构的义务主要包括：</w:t>
      </w:r>
    </w:p>
    <w:p w14:paraId="6CF15B75">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strike/>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rPr>
        <w:t>合理安排电网运行方式，</w:t>
      </w:r>
      <w:r>
        <w:rPr>
          <w:rFonts w:hint="eastAsia" w:ascii="Times New Roman" w:hAnsi="Times New Roman" w:eastAsia="方正仿宋_GBK" w:cs="Times New Roman"/>
          <w:b w:val="0"/>
          <w:bCs w:val="0"/>
          <w:color w:val="auto"/>
          <w:kern w:val="0"/>
          <w:sz w:val="32"/>
          <w:szCs w:val="32"/>
          <w:highlight w:val="none"/>
        </w:rPr>
        <w:t>负责安全校核</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rPr>
        <w:t>按照调度规程实施电力调度，</w:t>
      </w:r>
      <w:r>
        <w:rPr>
          <w:rFonts w:hint="eastAsia" w:ascii="Times New Roman" w:hAnsi="Times New Roman" w:eastAsia="方正仿宋_GBK" w:cs="Times New Roman"/>
          <w:b w:val="0"/>
          <w:bCs w:val="0"/>
          <w:color w:val="auto"/>
          <w:kern w:val="0"/>
          <w:sz w:val="32"/>
          <w:szCs w:val="32"/>
          <w:highlight w:val="none"/>
        </w:rPr>
        <w:t>依法依规落实电力市场交易结果</w:t>
      </w:r>
      <w:r>
        <w:rPr>
          <w:rFonts w:hint="eastAsia" w:ascii="Times New Roman" w:hAnsi="Times New Roman" w:eastAsia="方正仿宋_GBK" w:cs="Times New Roman"/>
          <w:b w:val="0"/>
          <w:bCs w:val="0"/>
          <w:color w:val="auto"/>
          <w:kern w:val="0"/>
          <w:sz w:val="32"/>
          <w:szCs w:val="32"/>
          <w:highlight w:val="none"/>
          <w:lang w:eastAsia="zh-CN"/>
        </w:rPr>
        <w:t>；</w:t>
      </w:r>
    </w:p>
    <w:p w14:paraId="2B07B1B4">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（二）</w:t>
      </w:r>
      <w:r>
        <w:rPr>
          <w:rFonts w:hint="eastAsia" w:ascii="Times New Roman" w:hAnsi="Times New Roman" w:eastAsia="方正仿宋_GBK" w:cs="Times New Roman"/>
          <w:b w:val="0"/>
          <w:bCs w:val="0"/>
          <w:color w:val="auto"/>
          <w:kern w:val="0"/>
          <w:sz w:val="32"/>
          <w:szCs w:val="32"/>
          <w:highlight w:val="none"/>
        </w:rPr>
        <w:t>向</w:t>
      </w:r>
      <w:r>
        <w:rPr>
          <w:rFonts w:hint="eastAsia" w:ascii="Times New Roman" w:hAnsi="Times New Roman" w:eastAsia="方正仿宋_GBK" w:cs="Times New Roman"/>
          <w:b w:val="0"/>
          <w:bCs w:val="0"/>
          <w:color w:val="auto"/>
          <w:kern w:val="0"/>
          <w:sz w:val="32"/>
          <w:szCs w:val="32"/>
          <w:highlight w:val="none"/>
          <w:lang w:val="en-US" w:eastAsia="zh-CN"/>
        </w:rPr>
        <w:t>电力交易</w:t>
      </w:r>
      <w:r>
        <w:rPr>
          <w:rFonts w:hint="eastAsia" w:ascii="Times New Roman" w:hAnsi="Times New Roman" w:eastAsia="方正仿宋_GBK" w:cs="Times New Roman"/>
          <w:b w:val="0"/>
          <w:bCs w:val="0"/>
          <w:color w:val="auto"/>
          <w:kern w:val="0"/>
          <w:sz w:val="32"/>
          <w:szCs w:val="32"/>
          <w:highlight w:val="none"/>
        </w:rPr>
        <w:t>机构提供支撑电力</w:t>
      </w:r>
      <w:r>
        <w:rPr>
          <w:rFonts w:hint="eastAsia" w:ascii="Times New Roman" w:hAnsi="Times New Roman" w:eastAsia="方正仿宋_GBK" w:cs="Times New Roman"/>
          <w:b w:val="0"/>
          <w:bCs w:val="0"/>
          <w:color w:val="auto"/>
          <w:kern w:val="0"/>
          <w:sz w:val="32"/>
          <w:szCs w:val="32"/>
          <w:highlight w:val="none"/>
          <w:lang w:eastAsia="zh-CN"/>
        </w:rPr>
        <w:t>市场注册、</w:t>
      </w:r>
      <w:r>
        <w:rPr>
          <w:rFonts w:hint="eastAsia" w:ascii="Times New Roman" w:hAnsi="Times New Roman" w:eastAsia="方正仿宋_GBK" w:cs="Times New Roman"/>
          <w:b w:val="0"/>
          <w:bCs w:val="0"/>
          <w:color w:val="auto"/>
          <w:kern w:val="0"/>
          <w:sz w:val="32"/>
          <w:szCs w:val="32"/>
          <w:highlight w:val="none"/>
        </w:rPr>
        <w:t>交易</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结算</w:t>
      </w:r>
      <w:r>
        <w:rPr>
          <w:rFonts w:hint="eastAsia" w:ascii="Times New Roman" w:hAnsi="Times New Roman" w:eastAsia="方正仿宋_GBK" w:cs="Times New Roman"/>
          <w:b w:val="0"/>
          <w:bCs w:val="0"/>
          <w:color w:val="auto"/>
          <w:kern w:val="0"/>
          <w:sz w:val="32"/>
          <w:szCs w:val="32"/>
          <w:highlight w:val="none"/>
        </w:rPr>
        <w:t>和市场服务所需的相关</w:t>
      </w:r>
      <w:r>
        <w:rPr>
          <w:rFonts w:hint="eastAsia" w:ascii="Times New Roman" w:hAnsi="Times New Roman" w:eastAsia="方正仿宋_GBK" w:cs="Times New Roman"/>
          <w:b w:val="0"/>
          <w:bCs w:val="0"/>
          <w:color w:val="auto"/>
          <w:kern w:val="0"/>
          <w:sz w:val="32"/>
          <w:szCs w:val="32"/>
          <w:highlight w:val="none"/>
          <w:lang w:val="en-US" w:eastAsia="zh-CN"/>
        </w:rPr>
        <w:t>信息</w:t>
      </w:r>
      <w:r>
        <w:rPr>
          <w:rFonts w:hint="eastAsia" w:ascii="Times New Roman" w:hAnsi="Times New Roman" w:eastAsia="方正仿宋_GBK" w:cs="Times New Roman"/>
          <w:b w:val="0"/>
          <w:bCs w:val="0"/>
          <w:color w:val="auto"/>
          <w:kern w:val="0"/>
          <w:sz w:val="32"/>
          <w:szCs w:val="32"/>
          <w:highlight w:val="none"/>
        </w:rPr>
        <w:t>，保证</w:t>
      </w:r>
      <w:r>
        <w:rPr>
          <w:rFonts w:hint="eastAsia" w:ascii="Times New Roman" w:hAnsi="Times New Roman" w:eastAsia="方正仿宋_GBK" w:cs="Times New Roman"/>
          <w:b w:val="0"/>
          <w:bCs w:val="0"/>
          <w:color w:val="auto"/>
          <w:kern w:val="0"/>
          <w:sz w:val="32"/>
          <w:szCs w:val="32"/>
          <w:highlight w:val="none"/>
          <w:lang w:eastAsia="zh-CN"/>
        </w:rPr>
        <w:t>数据</w:t>
      </w:r>
      <w:r>
        <w:rPr>
          <w:rFonts w:hint="eastAsia" w:ascii="Times New Roman" w:hAnsi="Times New Roman" w:eastAsia="方正仿宋_GBK" w:cs="Times New Roman"/>
          <w:b w:val="0"/>
          <w:bCs w:val="0"/>
          <w:color w:val="auto"/>
          <w:kern w:val="0"/>
          <w:sz w:val="32"/>
          <w:szCs w:val="32"/>
          <w:highlight w:val="none"/>
          <w:lang w:val="en-US" w:eastAsia="zh-CN"/>
        </w:rPr>
        <w:t>信息</w:t>
      </w:r>
      <w:r>
        <w:rPr>
          <w:rFonts w:hint="eastAsia" w:ascii="Times New Roman" w:hAnsi="Times New Roman" w:eastAsia="方正仿宋_GBK" w:cs="Times New Roman"/>
          <w:b w:val="0"/>
          <w:bCs w:val="0"/>
          <w:color w:val="auto"/>
          <w:kern w:val="0"/>
          <w:sz w:val="32"/>
          <w:szCs w:val="32"/>
          <w:highlight w:val="none"/>
        </w:rPr>
        <w:t>交互的准确性和及时性</w:t>
      </w:r>
      <w:r>
        <w:rPr>
          <w:rFonts w:hint="eastAsia" w:ascii="Times New Roman" w:hAnsi="Times New Roman" w:eastAsia="方正仿宋_GBK" w:cs="Times New Roman"/>
          <w:b w:val="0"/>
          <w:bCs w:val="0"/>
          <w:color w:val="auto"/>
          <w:kern w:val="0"/>
          <w:sz w:val="32"/>
          <w:szCs w:val="32"/>
          <w:highlight w:val="none"/>
          <w:lang w:eastAsia="zh-CN"/>
        </w:rPr>
        <w:t>；</w:t>
      </w:r>
    </w:p>
    <w:p w14:paraId="520F5EAB">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（三）</w:t>
      </w:r>
      <w:r>
        <w:rPr>
          <w:rFonts w:hint="eastAsia" w:ascii="Times New Roman" w:hAnsi="Times New Roman" w:eastAsia="方正仿宋_GBK" w:cs="Times New Roman"/>
          <w:b w:val="0"/>
          <w:bCs w:val="0"/>
          <w:color w:val="auto"/>
          <w:kern w:val="0"/>
          <w:sz w:val="32"/>
          <w:szCs w:val="32"/>
          <w:highlight w:val="none"/>
        </w:rPr>
        <w:t>依法依规提供相关市场信息</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执行信息披露有关规定</w:t>
      </w:r>
      <w:r>
        <w:rPr>
          <w:rFonts w:hint="eastAsia" w:ascii="Times New Roman" w:hAnsi="Times New Roman" w:eastAsia="方正仿宋_GBK" w:cs="Times New Roman"/>
          <w:b w:val="0"/>
          <w:bCs w:val="0"/>
          <w:color w:val="auto"/>
          <w:kern w:val="0"/>
          <w:sz w:val="32"/>
          <w:szCs w:val="32"/>
          <w:highlight w:val="none"/>
          <w:lang w:eastAsia="zh-CN"/>
        </w:rPr>
        <w:t>；</w:t>
      </w:r>
    </w:p>
    <w:p w14:paraId="22219770">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四</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配合</w:t>
      </w:r>
      <w:r>
        <w:rPr>
          <w:rFonts w:hint="eastAsia" w:ascii="Times New Roman" w:hAnsi="Times New Roman" w:eastAsia="方正仿宋_GBK" w:cs="Times New Roman"/>
          <w:b w:val="0"/>
          <w:bCs w:val="0"/>
          <w:color w:val="auto"/>
          <w:kern w:val="0"/>
          <w:sz w:val="32"/>
          <w:szCs w:val="32"/>
          <w:highlight w:val="none"/>
        </w:rPr>
        <w:t>开展</w:t>
      </w:r>
      <w:r>
        <w:rPr>
          <w:rFonts w:hint="eastAsia" w:ascii="Times New Roman" w:hAnsi="Times New Roman" w:eastAsia="方正仿宋_GBK" w:cs="Times New Roman"/>
          <w:b w:val="0"/>
          <w:bCs w:val="0"/>
          <w:color w:val="auto"/>
          <w:kern w:val="0"/>
          <w:sz w:val="32"/>
          <w:szCs w:val="32"/>
          <w:highlight w:val="none"/>
          <w:lang w:val="en-US" w:eastAsia="zh-CN"/>
        </w:rPr>
        <w:t>中长期</w:t>
      </w:r>
      <w:r>
        <w:rPr>
          <w:rFonts w:hint="eastAsia" w:ascii="Times New Roman" w:hAnsi="Times New Roman" w:eastAsia="方正仿宋_GBK" w:cs="Times New Roman"/>
          <w:b w:val="0"/>
          <w:bCs w:val="0"/>
          <w:color w:val="auto"/>
          <w:kern w:val="0"/>
          <w:sz w:val="32"/>
          <w:szCs w:val="32"/>
          <w:highlight w:val="none"/>
        </w:rPr>
        <w:t>市场分析和运营监控</w:t>
      </w:r>
      <w:r>
        <w:rPr>
          <w:rFonts w:hint="eastAsia" w:ascii="Times New Roman" w:hAnsi="Times New Roman" w:eastAsia="方正仿宋_GBK" w:cs="Times New Roman"/>
          <w:b w:val="0"/>
          <w:bCs w:val="0"/>
          <w:color w:val="auto"/>
          <w:kern w:val="0"/>
          <w:sz w:val="32"/>
          <w:szCs w:val="32"/>
          <w:highlight w:val="none"/>
          <w:lang w:eastAsia="zh-CN"/>
        </w:rPr>
        <w:t>；</w:t>
      </w:r>
    </w:p>
    <w:p w14:paraId="18A7B17F">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五</w:t>
      </w:r>
      <w:r>
        <w:rPr>
          <w:rFonts w:hint="eastAsia" w:ascii="Times New Roman" w:hAnsi="Times New Roman" w:eastAsia="方正仿宋_GBK" w:cs="Times New Roman"/>
          <w:b w:val="0"/>
          <w:bCs w:val="0"/>
          <w:color w:val="auto"/>
          <w:kern w:val="0"/>
          <w:sz w:val="32"/>
          <w:szCs w:val="32"/>
          <w:highlight w:val="none"/>
        </w:rPr>
        <w:t>）法律法规规定的其他义务。</w:t>
      </w:r>
    </w:p>
    <w:p w14:paraId="1CC5C50D">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电力</w:t>
      </w:r>
      <w:r>
        <w:rPr>
          <w:rFonts w:hint="eastAsia" w:ascii="Times New Roman" w:hAnsi="Times New Roman" w:eastAsia="方正仿宋_GBK" w:cs="Times New Roman"/>
          <w:b w:val="0"/>
          <w:bCs w:val="0"/>
          <w:color w:val="auto"/>
          <w:kern w:val="0"/>
          <w:sz w:val="32"/>
          <w:szCs w:val="32"/>
          <w:highlight w:val="none"/>
        </w:rPr>
        <w:t>交易机构的义务主要包括：</w:t>
      </w:r>
    </w:p>
    <w:p w14:paraId="0387424A">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一</w:t>
      </w:r>
      <w:r>
        <w:rPr>
          <w:rFonts w:hint="eastAsia" w:ascii="Times New Roman" w:hAnsi="Times New Roman" w:eastAsia="方正仿宋_GBK" w:cs="Times New Roman"/>
          <w:b w:val="0"/>
          <w:bCs w:val="0"/>
          <w:color w:val="auto"/>
          <w:kern w:val="0"/>
          <w:sz w:val="32"/>
          <w:szCs w:val="32"/>
          <w:highlight w:val="none"/>
          <w:lang w:eastAsia="zh-CN"/>
        </w:rPr>
        <w:t>）按照有关规定负责</w:t>
      </w:r>
      <w:r>
        <w:rPr>
          <w:rFonts w:hint="eastAsia" w:ascii="Times New Roman" w:hAnsi="Times New Roman" w:eastAsia="方正仿宋_GBK" w:cs="Times New Roman"/>
          <w:b w:val="0"/>
          <w:bCs w:val="0"/>
          <w:color w:val="auto"/>
          <w:kern w:val="0"/>
          <w:sz w:val="32"/>
          <w:szCs w:val="32"/>
          <w:highlight w:val="none"/>
        </w:rPr>
        <w:t>经营主体市场注册、信息变更和</w:t>
      </w:r>
      <w:r>
        <w:rPr>
          <w:rFonts w:hint="eastAsia" w:ascii="Times New Roman" w:hAnsi="Times New Roman" w:eastAsia="方正仿宋_GBK" w:cs="Times New Roman"/>
          <w:b w:val="0"/>
          <w:bCs w:val="0"/>
          <w:color w:val="auto"/>
          <w:kern w:val="0"/>
          <w:sz w:val="32"/>
          <w:szCs w:val="32"/>
          <w:highlight w:val="none"/>
          <w:lang w:eastAsia="zh-CN"/>
        </w:rPr>
        <w:t>注销</w:t>
      </w:r>
      <w:r>
        <w:rPr>
          <w:rFonts w:hint="eastAsia" w:ascii="Times New Roman" w:hAnsi="Times New Roman" w:eastAsia="方正仿宋_GBK" w:cs="Times New Roman"/>
          <w:b w:val="0"/>
          <w:bCs w:val="0"/>
          <w:color w:val="auto"/>
          <w:kern w:val="0"/>
          <w:sz w:val="32"/>
          <w:szCs w:val="32"/>
          <w:highlight w:val="none"/>
          <w:lang w:val="en-US" w:eastAsia="zh-CN"/>
        </w:rPr>
        <w:t>及</w:t>
      </w:r>
      <w:r>
        <w:rPr>
          <w:rFonts w:hint="eastAsia" w:ascii="Times New Roman" w:hAnsi="Times New Roman" w:eastAsia="方正仿宋_GBK" w:cs="Times New Roman"/>
          <w:b w:val="0"/>
          <w:bCs w:val="0"/>
          <w:color w:val="auto"/>
          <w:kern w:val="0"/>
          <w:sz w:val="32"/>
          <w:szCs w:val="32"/>
          <w:highlight w:val="none"/>
          <w:lang w:val="en-US" w:eastAsia="zh-CN"/>
        </w:rPr>
        <w:t>结算担保品</w:t>
      </w:r>
      <w:r>
        <w:rPr>
          <w:rFonts w:hint="eastAsia" w:ascii="Times New Roman" w:hAnsi="Times New Roman" w:eastAsia="方正仿宋_GBK" w:cs="Times New Roman"/>
          <w:b w:val="0"/>
          <w:bCs w:val="0"/>
          <w:color w:val="auto"/>
          <w:kern w:val="0"/>
          <w:sz w:val="32"/>
          <w:szCs w:val="32"/>
          <w:highlight w:val="none"/>
          <w:lang w:val="en-US" w:eastAsia="zh-CN"/>
        </w:rPr>
        <w:t>管理</w:t>
      </w:r>
      <w:r>
        <w:rPr>
          <w:rFonts w:hint="eastAsia" w:ascii="Times New Roman" w:hAnsi="Times New Roman" w:eastAsia="方正仿宋_GBK" w:cs="Times New Roman"/>
          <w:b w:val="0"/>
          <w:bCs w:val="0"/>
          <w:color w:val="auto"/>
          <w:kern w:val="0"/>
          <w:sz w:val="32"/>
          <w:szCs w:val="32"/>
          <w:highlight w:val="none"/>
        </w:rPr>
        <w:t>等</w:t>
      </w:r>
      <w:r>
        <w:rPr>
          <w:rFonts w:hint="eastAsia" w:ascii="Times New Roman" w:hAnsi="Times New Roman" w:eastAsia="方正仿宋_GBK" w:cs="Times New Roman"/>
          <w:b w:val="0"/>
          <w:bCs w:val="0"/>
          <w:color w:val="auto"/>
          <w:kern w:val="0"/>
          <w:sz w:val="32"/>
          <w:szCs w:val="32"/>
          <w:highlight w:val="none"/>
          <w:lang w:eastAsia="zh-CN"/>
        </w:rPr>
        <w:t>工作；</w:t>
      </w:r>
    </w:p>
    <w:p w14:paraId="01ECF45B">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二</w:t>
      </w:r>
      <w:r>
        <w:rPr>
          <w:rFonts w:hint="eastAsia" w:ascii="Times New Roman" w:hAnsi="Times New Roman" w:eastAsia="方正仿宋_GBK" w:cs="Times New Roman"/>
          <w:b w:val="0"/>
          <w:bCs w:val="0"/>
          <w:color w:val="auto"/>
          <w:kern w:val="0"/>
          <w:sz w:val="32"/>
          <w:szCs w:val="32"/>
          <w:highlight w:val="none"/>
        </w:rPr>
        <w:t>）建设、运营和维护电力交易平台和相关配套系统</w:t>
      </w:r>
      <w:r>
        <w:rPr>
          <w:rFonts w:hint="eastAsia" w:ascii="Times New Roman" w:hAnsi="Times New Roman" w:eastAsia="方正仿宋_GBK" w:cs="Times New Roman"/>
          <w:b w:val="0"/>
          <w:bCs w:val="0"/>
          <w:color w:val="auto"/>
          <w:kern w:val="0"/>
          <w:sz w:val="32"/>
          <w:szCs w:val="32"/>
          <w:highlight w:val="none"/>
          <w:lang w:eastAsia="zh-CN"/>
        </w:rPr>
        <w:t>；</w:t>
      </w:r>
    </w:p>
    <w:p w14:paraId="75388599">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rPr>
        <w:t>）执行信息披露有关规定</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承担保密义务</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提供信息</w:t>
      </w:r>
      <w:r>
        <w:rPr>
          <w:rFonts w:hint="eastAsia" w:ascii="Times New Roman" w:hAnsi="Times New Roman" w:eastAsia="方正仿宋_GBK" w:cs="Times New Roman"/>
          <w:b w:val="0"/>
          <w:bCs w:val="0"/>
          <w:color w:val="auto"/>
          <w:kern w:val="0"/>
          <w:sz w:val="32"/>
          <w:szCs w:val="32"/>
          <w:highlight w:val="none"/>
          <w:lang w:val="en-US" w:eastAsia="zh-CN"/>
        </w:rPr>
        <w:t>披露</w:t>
      </w:r>
      <w:r>
        <w:rPr>
          <w:rFonts w:hint="eastAsia" w:ascii="Times New Roman" w:hAnsi="Times New Roman" w:eastAsia="方正仿宋_GBK" w:cs="Times New Roman"/>
          <w:b w:val="0"/>
          <w:bCs w:val="0"/>
          <w:color w:val="auto"/>
          <w:kern w:val="0"/>
          <w:sz w:val="32"/>
          <w:szCs w:val="32"/>
          <w:highlight w:val="none"/>
        </w:rPr>
        <w:t>平台</w:t>
      </w:r>
      <w:r>
        <w:rPr>
          <w:rFonts w:hint="eastAsia" w:ascii="Times New Roman" w:hAnsi="Times New Roman" w:eastAsia="方正仿宋_GBK" w:cs="Times New Roman"/>
          <w:b w:val="0"/>
          <w:bCs w:val="0"/>
          <w:color w:val="auto"/>
          <w:kern w:val="0"/>
          <w:sz w:val="32"/>
          <w:szCs w:val="32"/>
          <w:highlight w:val="none"/>
          <w:lang w:eastAsia="zh-CN"/>
        </w:rPr>
        <w:t>；</w:t>
      </w:r>
    </w:p>
    <w:p w14:paraId="3A1D8EBC">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汇总结算基础数据，</w:t>
      </w:r>
      <w:r>
        <w:rPr>
          <w:rFonts w:hint="eastAsia" w:ascii="Times New Roman" w:hAnsi="Times New Roman" w:eastAsia="方正仿宋_GBK" w:cs="Times New Roman"/>
          <w:b w:val="0"/>
          <w:bCs w:val="0"/>
          <w:strike w:val="0"/>
          <w:color w:val="auto"/>
          <w:kern w:val="0"/>
          <w:sz w:val="32"/>
          <w:szCs w:val="32"/>
          <w:highlight w:val="none"/>
          <w:lang w:val="en-US" w:eastAsia="zh-CN"/>
        </w:rPr>
        <w:t>通过电力交易平台向经营主体、电网企业出具结算依据，提供结算相关服务</w:t>
      </w:r>
      <w:r>
        <w:rPr>
          <w:rFonts w:hint="eastAsia" w:ascii="Times New Roman" w:hAnsi="Times New Roman" w:eastAsia="方正仿宋_GBK" w:cs="Times New Roman"/>
          <w:b w:val="0"/>
          <w:bCs w:val="0"/>
          <w:color w:val="auto"/>
          <w:kern w:val="0"/>
          <w:sz w:val="32"/>
          <w:szCs w:val="32"/>
          <w:highlight w:val="none"/>
          <w:lang w:eastAsia="zh-CN"/>
        </w:rPr>
        <w:t>；</w:t>
      </w:r>
    </w:p>
    <w:p w14:paraId="16A0571B">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开展市场运营监测和分析，</w:t>
      </w:r>
      <w:r>
        <w:rPr>
          <w:rFonts w:hint="eastAsia" w:ascii="Times New Roman" w:hAnsi="Times New Roman" w:eastAsia="方正仿宋_GBK" w:cs="Times New Roman"/>
          <w:b w:val="0"/>
          <w:bCs w:val="0"/>
          <w:color w:val="auto"/>
          <w:kern w:val="0"/>
          <w:sz w:val="32"/>
          <w:szCs w:val="32"/>
          <w:highlight w:val="none"/>
        </w:rPr>
        <w:t>记录经营主体违反交易规则、扰乱市场秩序等违规行为，向</w:t>
      </w:r>
      <w:r>
        <w:rPr>
          <w:rFonts w:hint="eastAsia" w:ascii="Times New Roman" w:hAnsi="Times New Roman" w:eastAsia="方正仿宋_GBK" w:cs="Times New Roman"/>
          <w:b w:val="0"/>
          <w:bCs w:val="0"/>
          <w:color w:val="auto"/>
          <w:kern w:val="0"/>
          <w:sz w:val="32"/>
          <w:szCs w:val="32"/>
          <w:highlight w:val="none"/>
          <w:lang w:val="en-US" w:eastAsia="zh-CN"/>
        </w:rPr>
        <w:t>电力</w:t>
      </w:r>
      <w:r>
        <w:rPr>
          <w:rFonts w:hint="eastAsia" w:ascii="Times New Roman" w:hAnsi="Times New Roman" w:eastAsia="方正仿宋_GBK" w:cs="Times New Roman"/>
          <w:b w:val="0"/>
          <w:bCs w:val="0"/>
          <w:color w:val="auto"/>
          <w:kern w:val="0"/>
          <w:sz w:val="32"/>
          <w:szCs w:val="32"/>
          <w:highlight w:val="none"/>
          <w:lang w:eastAsia="zh"/>
        </w:rPr>
        <w:t>监管机构</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eastAsia="zh"/>
        </w:rPr>
        <w:t>政府</w:t>
      </w:r>
      <w:r>
        <w:rPr>
          <w:rFonts w:hint="eastAsia" w:ascii="Times New Roman" w:hAnsi="Times New Roman" w:eastAsia="方正仿宋_GBK" w:cs="Times New Roman"/>
          <w:b w:val="0"/>
          <w:bCs w:val="0"/>
          <w:color w:val="auto"/>
          <w:kern w:val="0"/>
          <w:sz w:val="32"/>
          <w:szCs w:val="32"/>
          <w:highlight w:val="none"/>
          <w:lang w:eastAsia="zh-CN"/>
        </w:rPr>
        <w:t>有关</w:t>
      </w:r>
      <w:r>
        <w:rPr>
          <w:rFonts w:hint="eastAsia" w:ascii="Times New Roman" w:hAnsi="Times New Roman" w:eastAsia="方正仿宋_GBK" w:cs="Times New Roman"/>
          <w:b w:val="0"/>
          <w:bCs w:val="0"/>
          <w:color w:val="auto"/>
          <w:kern w:val="0"/>
          <w:sz w:val="32"/>
          <w:szCs w:val="32"/>
          <w:highlight w:val="none"/>
          <w:lang w:eastAsia="zh"/>
        </w:rPr>
        <w:t>主管部门</w:t>
      </w:r>
      <w:r>
        <w:rPr>
          <w:rFonts w:hint="eastAsia" w:ascii="Times New Roman" w:hAnsi="Times New Roman" w:eastAsia="方正仿宋_GBK" w:cs="Times New Roman"/>
          <w:b w:val="0"/>
          <w:bCs w:val="0"/>
          <w:color w:val="auto"/>
          <w:kern w:val="0"/>
          <w:sz w:val="32"/>
          <w:szCs w:val="32"/>
          <w:highlight w:val="none"/>
        </w:rPr>
        <w:t>及时报告并配合相关调查</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rPr>
        <w:t>依法依规</w:t>
      </w:r>
      <w:r>
        <w:rPr>
          <w:rFonts w:hint="eastAsia" w:ascii="Times New Roman" w:hAnsi="Times New Roman" w:eastAsia="方正仿宋_GBK" w:cs="Times New Roman"/>
          <w:b w:val="0"/>
          <w:bCs w:val="0"/>
          <w:color w:val="auto"/>
          <w:kern w:val="0"/>
          <w:sz w:val="32"/>
          <w:szCs w:val="32"/>
          <w:highlight w:val="none"/>
          <w:lang w:val="en-US" w:eastAsia="zh-CN"/>
        </w:rPr>
        <w:t>执行</w:t>
      </w:r>
      <w:r>
        <w:rPr>
          <w:rFonts w:hint="eastAsia" w:ascii="Times New Roman" w:hAnsi="Times New Roman" w:eastAsia="方正仿宋_GBK" w:cs="Times New Roman"/>
          <w:b w:val="0"/>
          <w:bCs w:val="0"/>
          <w:color w:val="auto"/>
          <w:kern w:val="0"/>
          <w:sz w:val="32"/>
          <w:szCs w:val="32"/>
          <w:highlight w:val="none"/>
        </w:rPr>
        <w:t>市场干预</w:t>
      </w:r>
      <w:r>
        <w:rPr>
          <w:rFonts w:hint="eastAsia" w:ascii="Times New Roman" w:hAnsi="Times New Roman" w:eastAsia="方正仿宋_GBK" w:cs="Times New Roman"/>
          <w:b w:val="0"/>
          <w:bCs w:val="0"/>
          <w:color w:val="auto"/>
          <w:kern w:val="0"/>
          <w:sz w:val="32"/>
          <w:szCs w:val="32"/>
          <w:highlight w:val="none"/>
          <w:lang w:val="en-US" w:eastAsia="zh-CN"/>
        </w:rPr>
        <w:t>措施并向经营主体公布干预原因</w:t>
      </w:r>
      <w:r>
        <w:rPr>
          <w:rFonts w:hint="eastAsia" w:ascii="Times New Roman" w:hAnsi="Times New Roman" w:eastAsia="方正仿宋_GBK" w:cs="Times New Roman"/>
          <w:b w:val="0"/>
          <w:bCs w:val="0"/>
          <w:color w:val="auto"/>
          <w:kern w:val="0"/>
          <w:sz w:val="32"/>
          <w:szCs w:val="32"/>
          <w:highlight w:val="none"/>
        </w:rPr>
        <w:t>，防控市场风险</w:t>
      </w:r>
      <w:r>
        <w:rPr>
          <w:rFonts w:hint="eastAsia" w:ascii="Times New Roman" w:hAnsi="Times New Roman" w:eastAsia="方正仿宋_GBK" w:cs="Times New Roman"/>
          <w:b w:val="0"/>
          <w:bCs w:val="0"/>
          <w:color w:val="auto"/>
          <w:kern w:val="0"/>
          <w:sz w:val="32"/>
          <w:szCs w:val="32"/>
          <w:highlight w:val="none"/>
          <w:lang w:eastAsia="zh-CN"/>
        </w:rPr>
        <w:t>；</w:t>
      </w:r>
    </w:p>
    <w:p w14:paraId="0787A91C">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六</w:t>
      </w:r>
      <w:r>
        <w:rPr>
          <w:rFonts w:hint="eastAsia" w:ascii="Times New Roman" w:hAnsi="Times New Roman" w:eastAsia="方正仿宋_GBK" w:cs="Times New Roman"/>
          <w:b w:val="0"/>
          <w:bCs w:val="0"/>
          <w:color w:val="auto"/>
          <w:kern w:val="0"/>
          <w:sz w:val="32"/>
          <w:szCs w:val="32"/>
          <w:highlight w:val="none"/>
        </w:rPr>
        <w:t>）配合</w:t>
      </w:r>
      <w:r>
        <w:rPr>
          <w:rFonts w:hint="eastAsia" w:ascii="Times New Roman" w:hAnsi="Times New Roman" w:eastAsia="方正仿宋_GBK" w:cs="Times New Roman"/>
          <w:b w:val="0"/>
          <w:bCs w:val="0"/>
          <w:color w:val="auto"/>
          <w:kern w:val="0"/>
          <w:sz w:val="32"/>
          <w:szCs w:val="32"/>
          <w:highlight w:val="none"/>
          <w:lang w:val="en-US" w:eastAsia="zh-CN"/>
        </w:rPr>
        <w:t>电力</w:t>
      </w:r>
      <w:r>
        <w:rPr>
          <w:rFonts w:hint="eastAsia" w:ascii="Times New Roman" w:hAnsi="Times New Roman" w:eastAsia="方正仿宋_GBK" w:cs="Times New Roman"/>
          <w:b w:val="0"/>
          <w:bCs w:val="0"/>
          <w:color w:val="auto"/>
          <w:kern w:val="0"/>
          <w:sz w:val="32"/>
          <w:szCs w:val="32"/>
          <w:highlight w:val="none"/>
          <w:lang w:eastAsia="zh"/>
        </w:rPr>
        <w:t>监管机构</w:t>
      </w:r>
      <w:r>
        <w:rPr>
          <w:rFonts w:hint="eastAsia" w:ascii="Times New Roman" w:hAnsi="Times New Roman" w:eastAsia="方正仿宋_GBK" w:cs="Times New Roman"/>
          <w:b w:val="0"/>
          <w:bCs w:val="0"/>
          <w:color w:val="auto"/>
          <w:kern w:val="0"/>
          <w:sz w:val="32"/>
          <w:szCs w:val="32"/>
          <w:highlight w:val="none"/>
        </w:rPr>
        <w:t>对市场进行</w:t>
      </w:r>
      <w:r>
        <w:rPr>
          <w:rFonts w:hint="eastAsia" w:ascii="Times New Roman" w:hAnsi="Times New Roman" w:eastAsia="方正仿宋_GBK" w:cs="Times New Roman"/>
          <w:b w:val="0"/>
          <w:bCs w:val="0"/>
          <w:color w:val="auto"/>
          <w:kern w:val="0"/>
          <w:sz w:val="32"/>
          <w:szCs w:val="32"/>
          <w:highlight w:val="none"/>
          <w:lang w:val="en-US" w:eastAsia="zh-CN"/>
        </w:rPr>
        <w:t>常态化监测</w:t>
      </w:r>
      <w:r>
        <w:rPr>
          <w:rFonts w:hint="eastAsia" w:ascii="Times New Roman" w:hAnsi="Times New Roman" w:eastAsia="方正仿宋_GBK" w:cs="Times New Roman"/>
          <w:b w:val="0"/>
          <w:bCs w:val="0"/>
          <w:color w:val="auto"/>
          <w:kern w:val="0"/>
          <w:sz w:val="32"/>
          <w:szCs w:val="32"/>
          <w:highlight w:val="none"/>
          <w:lang w:eastAsia="zh-CN"/>
        </w:rPr>
        <w:t>；</w:t>
      </w:r>
    </w:p>
    <w:p w14:paraId="399FBA3E">
      <w:pPr>
        <w:widowControl/>
        <w:adjustRightInd w:val="0"/>
        <w:snapToGrid w:val="0"/>
        <w:spacing w:line="588" w:lineRule="exact"/>
        <w:ind w:firstLine="640" w:firstLineChars="20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eastAsia="zh-CN"/>
        </w:rPr>
        <w:t>七</w:t>
      </w:r>
      <w:r>
        <w:rPr>
          <w:rFonts w:hint="eastAsia" w:ascii="Times New Roman" w:hAnsi="Times New Roman" w:eastAsia="方正仿宋_GBK" w:cs="Times New Roman"/>
          <w:b w:val="0"/>
          <w:bCs w:val="0"/>
          <w:color w:val="auto"/>
          <w:kern w:val="0"/>
          <w:sz w:val="32"/>
          <w:szCs w:val="32"/>
          <w:highlight w:val="none"/>
        </w:rPr>
        <w:t>）法律法规规定的其他义务。</w:t>
      </w:r>
    </w:p>
    <w:p w14:paraId="1B7D3EE5">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2"/>
          <w:sz w:val="32"/>
          <w:szCs w:val="32"/>
          <w:highlight w:val="none"/>
        </w:rPr>
        <w:t>电网</w:t>
      </w:r>
      <w:r>
        <w:rPr>
          <w:rFonts w:hint="eastAsia" w:ascii="Times New Roman" w:hAnsi="Times New Roman" w:eastAsia="方正仿宋_GBK" w:cs="Times New Roman"/>
          <w:b w:val="0"/>
          <w:bCs w:val="0"/>
          <w:color w:val="auto"/>
          <w:kern w:val="0"/>
          <w:sz w:val="32"/>
          <w:szCs w:val="32"/>
          <w:highlight w:val="none"/>
        </w:rPr>
        <w:t>企业的义务</w:t>
      </w:r>
      <w:r>
        <w:rPr>
          <w:rFonts w:hint="eastAsia" w:ascii="Times New Roman" w:hAnsi="Times New Roman" w:eastAsia="方正仿宋_GBK" w:cs="Times New Roman"/>
          <w:b w:val="0"/>
          <w:bCs w:val="0"/>
          <w:color w:val="auto"/>
          <w:kern w:val="0"/>
          <w:sz w:val="32"/>
          <w:szCs w:val="32"/>
          <w:highlight w:val="none"/>
          <w:lang w:val="en-US" w:eastAsia="zh-CN"/>
        </w:rPr>
        <w:t>主要包括</w:t>
      </w:r>
      <w:r>
        <w:rPr>
          <w:rFonts w:hint="eastAsia" w:ascii="Times New Roman" w:hAnsi="Times New Roman" w:eastAsia="方正仿宋_GBK" w:cs="Times New Roman"/>
          <w:b w:val="0"/>
          <w:bCs w:val="0"/>
          <w:color w:val="auto"/>
          <w:kern w:val="0"/>
          <w:sz w:val="32"/>
          <w:szCs w:val="32"/>
          <w:highlight w:val="none"/>
        </w:rPr>
        <w:t>：</w:t>
      </w:r>
    </w:p>
    <w:p w14:paraId="29FACE14">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（一）保障输变电设备正常运行</w:t>
      </w:r>
      <w:r>
        <w:rPr>
          <w:rFonts w:hint="eastAsia" w:ascii="Times New Roman" w:hAnsi="Times New Roman" w:eastAsia="方正仿宋_GBK" w:cs="Times New Roman"/>
          <w:b w:val="0"/>
          <w:bCs w:val="0"/>
          <w:color w:val="auto"/>
          <w:kern w:val="0"/>
          <w:sz w:val="32"/>
          <w:szCs w:val="32"/>
          <w:highlight w:val="none"/>
          <w:lang w:eastAsia="zh"/>
        </w:rPr>
        <w:t>，</w:t>
      </w:r>
      <w:r>
        <w:rPr>
          <w:rFonts w:hint="eastAsia" w:ascii="Times New Roman" w:hAnsi="Times New Roman" w:eastAsia="方正仿宋_GBK" w:cs="Times New Roman"/>
          <w:b w:val="0"/>
          <w:bCs w:val="0"/>
          <w:color w:val="auto"/>
          <w:kern w:val="0"/>
          <w:sz w:val="32"/>
          <w:szCs w:val="32"/>
          <w:highlight w:val="none"/>
        </w:rPr>
        <w:t>建设、运行、维护和管理电网相关配套系统，服从电力调度机构的统一调度</w:t>
      </w:r>
      <w:r>
        <w:rPr>
          <w:rFonts w:hint="eastAsia" w:ascii="Times New Roman" w:hAnsi="Times New Roman" w:eastAsia="方正仿宋_GBK" w:cs="Times New Roman"/>
          <w:b w:val="0"/>
          <w:bCs w:val="0"/>
          <w:color w:val="auto"/>
          <w:kern w:val="0"/>
          <w:sz w:val="32"/>
          <w:szCs w:val="32"/>
          <w:highlight w:val="none"/>
          <w:lang w:eastAsia="zh-CN"/>
        </w:rPr>
        <w:t>；</w:t>
      </w:r>
    </w:p>
    <w:p w14:paraId="1D5FD643">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rPr>
      </w:pPr>
      <w:r>
        <w:rPr>
          <w:rFonts w:hint="eastAsia" w:ascii="Times New Roman" w:hAnsi="Times New Roman" w:eastAsia="方正仿宋_GBK" w:cs="Times New Roman"/>
          <w:b w:val="0"/>
          <w:bCs w:val="0"/>
          <w:color w:val="auto"/>
          <w:kern w:val="0"/>
          <w:sz w:val="32"/>
          <w:szCs w:val="32"/>
          <w:highlight w:val="none"/>
        </w:rPr>
        <w:t>（二）根据市场价格信号反映的阻塞情况，加强电网建设</w:t>
      </w:r>
      <w:r>
        <w:rPr>
          <w:rFonts w:hint="eastAsia" w:ascii="Times New Roman" w:hAnsi="Times New Roman" w:eastAsia="方正仿宋_GBK" w:cs="Times New Roman"/>
          <w:b w:val="0"/>
          <w:bCs w:val="0"/>
          <w:color w:val="auto"/>
          <w:kern w:val="0"/>
          <w:sz w:val="32"/>
          <w:szCs w:val="32"/>
          <w:highlight w:val="none"/>
          <w:lang w:eastAsia="zh"/>
        </w:rPr>
        <w:t>，</w:t>
      </w:r>
      <w:r>
        <w:rPr>
          <w:rFonts w:hint="eastAsia" w:ascii="Times New Roman" w:hAnsi="Times New Roman" w:eastAsia="方正仿宋_GBK" w:cs="Times New Roman"/>
          <w:b w:val="0"/>
          <w:bCs w:val="0"/>
          <w:color w:val="auto"/>
          <w:kern w:val="0"/>
          <w:sz w:val="32"/>
          <w:szCs w:val="32"/>
          <w:highlight w:val="none"/>
        </w:rPr>
        <w:t>为经营主体提供公平的输电、配电服务和电网接入</w:t>
      </w:r>
      <w:r>
        <w:rPr>
          <w:rFonts w:hint="eastAsia" w:ascii="Times New Roman" w:hAnsi="Times New Roman" w:eastAsia="方正仿宋_GBK" w:cs="Times New Roman"/>
          <w:b w:val="0"/>
          <w:bCs w:val="0"/>
          <w:color w:val="auto"/>
          <w:kern w:val="0"/>
          <w:sz w:val="32"/>
          <w:szCs w:val="32"/>
          <w:highlight w:val="none"/>
          <w:lang w:eastAsia="zh"/>
        </w:rPr>
        <w:t>、</w:t>
      </w:r>
      <w:r>
        <w:rPr>
          <w:rFonts w:hint="eastAsia" w:ascii="Times New Roman" w:hAnsi="Times New Roman" w:eastAsia="方正仿宋_GBK" w:cs="Times New Roman"/>
          <w:b w:val="0"/>
          <w:bCs w:val="0"/>
          <w:color w:val="auto"/>
          <w:kern w:val="0"/>
          <w:sz w:val="32"/>
          <w:szCs w:val="32"/>
          <w:highlight w:val="none"/>
        </w:rPr>
        <w:t>报装、计量、抄表、收付费等服务</w:t>
      </w:r>
      <w:r>
        <w:rPr>
          <w:rFonts w:hint="eastAsia" w:ascii="Times New Roman" w:hAnsi="Times New Roman" w:eastAsia="方正仿宋_GBK" w:cs="Times New Roman"/>
          <w:b w:val="0"/>
          <w:bCs w:val="0"/>
          <w:color w:val="auto"/>
          <w:kern w:val="0"/>
          <w:sz w:val="32"/>
          <w:szCs w:val="32"/>
          <w:highlight w:val="none"/>
          <w:lang w:eastAsia="zh-CN"/>
        </w:rPr>
        <w:t>；</w:t>
      </w:r>
    </w:p>
    <w:p w14:paraId="31892452">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三</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做好电力用户、分布式电源等经营主体</w:t>
      </w:r>
      <w:r>
        <w:rPr>
          <w:rFonts w:hint="eastAsia" w:ascii="Times New Roman" w:hAnsi="Times New Roman" w:eastAsia="方正仿宋_GBK" w:cs="Times New Roman"/>
          <w:b w:val="0"/>
          <w:bCs w:val="0"/>
          <w:color w:val="auto"/>
          <w:kern w:val="0"/>
          <w:sz w:val="32"/>
          <w:szCs w:val="32"/>
          <w:highlight w:val="none"/>
        </w:rPr>
        <w:t>档案信息管理，</w:t>
      </w:r>
      <w:r>
        <w:rPr>
          <w:rFonts w:hint="eastAsia" w:ascii="Times New Roman" w:hAnsi="Times New Roman" w:eastAsia="方正仿宋_GBK" w:cs="Times New Roman"/>
          <w:b w:val="0"/>
          <w:bCs w:val="0"/>
          <w:color w:val="auto"/>
          <w:kern w:val="0"/>
          <w:sz w:val="32"/>
          <w:szCs w:val="32"/>
          <w:highlight w:val="none"/>
          <w:lang w:val="en-US" w:eastAsia="zh-CN"/>
        </w:rPr>
        <w:t>及时、准确向电力交易平台推送数据；</w:t>
      </w:r>
    </w:p>
    <w:p w14:paraId="2D53D2E3">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四</w:t>
      </w:r>
      <w:r>
        <w:rPr>
          <w:rFonts w:hint="eastAsia" w:ascii="Times New Roman" w:hAnsi="Times New Roman" w:eastAsia="方正仿宋_GBK" w:cs="Times New Roman"/>
          <w:b w:val="0"/>
          <w:bCs w:val="0"/>
          <w:color w:val="auto"/>
          <w:kern w:val="0"/>
          <w:sz w:val="32"/>
          <w:szCs w:val="32"/>
          <w:highlight w:val="none"/>
        </w:rPr>
        <w:t>）依法依规提供相关市场信息，执行信息披露有关规定</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承担保密义务</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strike w:val="0"/>
          <w:color w:val="auto"/>
          <w:kern w:val="0"/>
          <w:sz w:val="32"/>
          <w:szCs w:val="32"/>
          <w:highlight w:val="none"/>
          <w:lang w:eastAsia="zh-CN"/>
        </w:rPr>
        <w:t>负责提供支撑结算所需的相关基础数据</w:t>
      </w:r>
      <w:r>
        <w:rPr>
          <w:rFonts w:hint="eastAsia" w:ascii="Times New Roman" w:hAnsi="Times New Roman" w:eastAsia="方正仿宋_GBK" w:cs="Times New Roman"/>
          <w:b w:val="0"/>
          <w:bCs w:val="0"/>
          <w:color w:val="auto"/>
          <w:kern w:val="0"/>
          <w:sz w:val="32"/>
          <w:szCs w:val="32"/>
          <w:highlight w:val="none"/>
          <w:lang w:eastAsia="zh-CN"/>
        </w:rPr>
        <w:t>；</w:t>
      </w:r>
    </w:p>
    <w:p w14:paraId="3C945823">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yellow"/>
          <w:lang w:eastAsia="zh"/>
        </w:rPr>
      </w:pP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五</w:t>
      </w:r>
      <w:r>
        <w:rPr>
          <w:rFonts w:hint="eastAsia" w:ascii="Times New Roman" w:hAnsi="Times New Roman" w:eastAsia="方正仿宋_GBK" w:cs="Times New Roman"/>
          <w:b w:val="0"/>
          <w:bCs w:val="0"/>
          <w:color w:val="auto"/>
          <w:kern w:val="0"/>
          <w:sz w:val="32"/>
          <w:szCs w:val="32"/>
          <w:highlight w:val="none"/>
        </w:rPr>
        <w:t>）保障居民（含执行居民电价的学校、社会福利机构、社区服务中心等公益性事业用户）、农业用电供应，执</w:t>
      </w:r>
      <w:r>
        <w:rPr>
          <w:rFonts w:hint="eastAsia" w:ascii="Times New Roman" w:hAnsi="Times New Roman" w:eastAsia="方正仿宋_GBK" w:cs="Times New Roman"/>
          <w:b w:val="0"/>
          <w:bCs w:val="0"/>
          <w:color w:val="auto"/>
          <w:kern w:val="0"/>
          <w:sz w:val="32"/>
          <w:szCs w:val="32"/>
          <w:highlight w:val="none"/>
          <w:lang w:eastAsia="zh"/>
        </w:rPr>
        <w:t>行现行目录销售电价政策；单独预测居民、农业用户的用电量规模及典型用电曲线；向符合规定的工商业用户提供代理购电服务，单独预测代理购电用户负荷曲线及用电量规模</w:t>
      </w:r>
      <w:r>
        <w:rPr>
          <w:rFonts w:hint="eastAsia" w:ascii="Times New Roman" w:hAnsi="Times New Roman" w:eastAsia="方正仿宋_GBK" w:cs="Times New Roman"/>
          <w:b w:val="0"/>
          <w:bCs w:val="0"/>
          <w:color w:val="auto"/>
          <w:kern w:val="0"/>
          <w:sz w:val="32"/>
          <w:szCs w:val="32"/>
          <w:highlight w:val="none"/>
          <w:lang w:val="en-US" w:eastAsia="zh-CN"/>
        </w:rPr>
        <w:t>；</w:t>
      </w:r>
    </w:p>
    <w:p w14:paraId="52D67284">
      <w:pPr>
        <w:pageBreakBefore w:val="0"/>
        <w:widowControl/>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eastAsia="zh-CN"/>
        </w:rPr>
      </w:pPr>
      <w:r>
        <w:rPr>
          <w:rFonts w:hint="eastAsia" w:ascii="Times New Roman" w:hAnsi="Times New Roman" w:eastAsia="方正仿宋_GBK" w:cs="Times New Roman"/>
          <w:b w:val="0"/>
          <w:bCs w:val="0"/>
          <w:color w:val="auto"/>
          <w:kern w:val="0"/>
          <w:sz w:val="32"/>
          <w:szCs w:val="32"/>
          <w:highlight w:val="none"/>
          <w:lang w:eastAsia="zh-CN"/>
        </w:rPr>
        <w:t>（六）</w:t>
      </w:r>
      <w:r>
        <w:rPr>
          <w:rFonts w:hint="eastAsia" w:ascii="Times New Roman" w:hAnsi="Times New Roman" w:eastAsia="方正仿宋_GBK" w:cs="Times New Roman"/>
          <w:b w:val="0"/>
          <w:bCs w:val="0"/>
          <w:color w:val="auto"/>
          <w:kern w:val="0"/>
          <w:sz w:val="32"/>
          <w:szCs w:val="32"/>
          <w:highlight w:val="none"/>
          <w:lang w:val="en-US" w:eastAsia="zh-CN" w:bidi="ar"/>
        </w:rPr>
        <w:t>根据相关价格政策及电力交易机构</w:t>
      </w:r>
      <w:r>
        <w:rPr>
          <w:rFonts w:hint="eastAsia" w:ascii="Times New Roman" w:hAnsi="Times New Roman" w:eastAsia="方正仿宋_GBK" w:cs="Times New Roman"/>
          <w:b w:val="0"/>
          <w:bCs w:val="0"/>
          <w:strike w:val="0"/>
          <w:color w:val="auto"/>
          <w:kern w:val="0"/>
          <w:sz w:val="32"/>
          <w:szCs w:val="32"/>
          <w:highlight w:val="none"/>
          <w:lang w:val="en-US" w:eastAsia="zh-CN" w:bidi="ar"/>
        </w:rPr>
        <w:t>推送</w:t>
      </w:r>
      <w:r>
        <w:rPr>
          <w:rFonts w:hint="eastAsia" w:ascii="Times New Roman" w:hAnsi="Times New Roman" w:eastAsia="方正仿宋_GBK" w:cs="Times New Roman"/>
          <w:b w:val="0"/>
          <w:bCs w:val="0"/>
          <w:color w:val="auto"/>
          <w:kern w:val="0"/>
          <w:sz w:val="32"/>
          <w:szCs w:val="32"/>
          <w:highlight w:val="none"/>
          <w:lang w:val="en-US" w:eastAsia="zh-CN" w:bidi="ar"/>
        </w:rPr>
        <w:t>的结算依据和结算基础数据，开展电费结算，按期向经营主体出具电费账单，按时完成电费结算；</w:t>
      </w:r>
    </w:p>
    <w:p w14:paraId="75ACEFC3">
      <w:pPr>
        <w:pageBreakBefore w:val="0"/>
        <w:widowControl/>
        <w:kinsoku/>
        <w:wordWrap/>
        <w:overflowPunct/>
        <w:topLinePunct w:val="0"/>
        <w:autoSpaceDN/>
        <w:bidi w:val="0"/>
        <w:adjustRightInd w:val="0"/>
        <w:snapToGrid w:val="0"/>
        <w:spacing w:line="588" w:lineRule="exact"/>
        <w:ind w:firstLine="420" w:firstLineChars="200"/>
        <w:jc w:val="both"/>
        <w:rPr>
          <w:rFonts w:hint="eastAsia" w:ascii="Times New Roman" w:hAnsi="Times New Roman" w:eastAsia="仿宋" w:cs="Times New Roman"/>
          <w:b w:val="0"/>
          <w:bCs w:val="0"/>
          <w:color w:val="auto"/>
          <w:kern w:val="0"/>
          <w:sz w:val="32"/>
          <w:szCs w:val="32"/>
          <w:highlight w:val="none"/>
        </w:rPr>
      </w:pPr>
      <w:r>
        <w:rPr>
          <w:rFonts w:hint="eastAsia"/>
          <w:b w:val="0"/>
          <w:bCs w:val="0"/>
          <w:color w:val="auto"/>
          <w:lang w:val="en-US" w:eastAsia="zh-CN"/>
        </w:rPr>
        <w:t xml:space="preserve">  </w:t>
      </w:r>
      <w:r>
        <w:rPr>
          <w:rFonts w:hint="eastAsia" w:ascii="Times New Roman" w:hAnsi="Times New Roman" w:eastAsia="方正仿宋_GBK" w:cs="Times New Roman"/>
          <w:b w:val="0"/>
          <w:bCs w:val="0"/>
          <w:color w:val="auto"/>
          <w:kern w:val="0"/>
          <w:sz w:val="32"/>
          <w:szCs w:val="32"/>
          <w:highlight w:val="none"/>
        </w:rPr>
        <w:t>（</w:t>
      </w:r>
      <w:r>
        <w:rPr>
          <w:rFonts w:hint="eastAsia" w:ascii="Times New Roman" w:hAnsi="Times New Roman" w:eastAsia="方正仿宋_GBK" w:cs="Times New Roman"/>
          <w:b w:val="0"/>
          <w:bCs w:val="0"/>
          <w:color w:val="auto"/>
          <w:kern w:val="0"/>
          <w:sz w:val="32"/>
          <w:szCs w:val="32"/>
          <w:highlight w:val="none"/>
          <w:lang w:val="en-US" w:eastAsia="zh-CN"/>
        </w:rPr>
        <w:t>七）</w:t>
      </w:r>
      <w:r>
        <w:rPr>
          <w:rFonts w:hint="eastAsia" w:ascii="Times New Roman" w:hAnsi="Times New Roman" w:eastAsia="方正仿宋_GBK" w:cs="Times New Roman"/>
          <w:b w:val="0"/>
          <w:bCs w:val="0"/>
          <w:color w:val="auto"/>
          <w:kern w:val="0"/>
          <w:sz w:val="32"/>
          <w:szCs w:val="32"/>
          <w:highlight w:val="none"/>
        </w:rPr>
        <w:t>法律法规规定的其他义务。</w:t>
      </w:r>
    </w:p>
    <w:p w14:paraId="678FD3F2">
      <w:pPr>
        <w:pStyle w:val="2"/>
        <w:widowControl/>
        <w:adjustRightInd w:val="0"/>
        <w:snapToGrid w:val="0"/>
        <w:spacing w:line="588" w:lineRule="exact"/>
        <w:ind w:firstLineChars="0"/>
        <w:jc w:val="center"/>
        <w:rPr>
          <w:rFonts w:hint="default" w:ascii="Times New Roman" w:hAnsi="Times New Roman" w:eastAsia="方正楷体_GBK" w:cs="Times New Roman"/>
          <w:b w:val="0"/>
          <w:bCs w:val="0"/>
          <w:color w:val="auto"/>
          <w:kern w:val="2"/>
          <w:sz w:val="32"/>
          <w:szCs w:val="32"/>
          <w:highlight w:val="none"/>
          <w:lang w:val="en-US" w:eastAsia="zh-CN"/>
        </w:rPr>
      </w:pPr>
      <w:bookmarkStart w:id="64" w:name="_Toc2354"/>
      <w:bookmarkStart w:id="65" w:name="_Toc1127158058"/>
      <w:bookmarkStart w:id="66" w:name="_Toc574162094"/>
      <w:bookmarkStart w:id="67" w:name="_Toc28845"/>
      <w:bookmarkStart w:id="68" w:name="_Toc20443"/>
      <w:bookmarkStart w:id="69" w:name="_Toc16380"/>
      <w:bookmarkStart w:id="70" w:name="_Toc1513948095"/>
      <w:bookmarkStart w:id="71" w:name="_Toc2099"/>
      <w:r>
        <w:rPr>
          <w:rFonts w:hint="eastAsia" w:ascii="Times New Roman" w:hAnsi="Times New Roman" w:eastAsia="方正楷体_GBK" w:cs="Times New Roman"/>
          <w:b w:val="0"/>
          <w:bCs w:val="0"/>
          <w:color w:val="auto"/>
          <w:sz w:val="32"/>
          <w:szCs w:val="32"/>
          <w:highlight w:val="none"/>
        </w:rPr>
        <w:fldChar w:fldCharType="begin"/>
      </w:r>
      <w:r>
        <w:rPr>
          <w:rFonts w:hint="eastAsia" w:ascii="Times New Roman" w:hAnsi="Times New Roman" w:eastAsia="方正楷体_GBK" w:cs="Times New Roman"/>
          <w:b w:val="0"/>
          <w:bCs w:val="0"/>
          <w:color w:val="auto"/>
          <w:sz w:val="32"/>
          <w:szCs w:val="32"/>
          <w:highlight w:val="none"/>
        </w:rPr>
        <w:instrText xml:space="preserve"> HYPERLINK \l "_Toc16073" </w:instrText>
      </w:r>
      <w:r>
        <w:rPr>
          <w:rFonts w:hint="eastAsia" w:ascii="Times New Roman" w:hAnsi="Times New Roman" w:eastAsia="方正楷体_GBK" w:cs="Times New Roman"/>
          <w:b w:val="0"/>
          <w:bCs w:val="0"/>
          <w:color w:val="auto"/>
          <w:sz w:val="32"/>
          <w:szCs w:val="32"/>
          <w:highlight w:val="none"/>
        </w:rPr>
        <w:fldChar w:fldCharType="separate"/>
      </w:r>
      <w:r>
        <w:rPr>
          <w:rFonts w:hint="eastAsia" w:ascii="Times New Roman" w:hAnsi="Times New Roman" w:eastAsia="方正楷体_GBK" w:cs="Times New Roman"/>
          <w:b w:val="0"/>
          <w:bCs w:val="0"/>
          <w:color w:val="auto"/>
          <w:kern w:val="2"/>
          <w:sz w:val="32"/>
          <w:szCs w:val="32"/>
          <w:highlight w:val="none"/>
        </w:rPr>
        <w:t>第</w:t>
      </w:r>
      <w:r>
        <w:rPr>
          <w:rFonts w:hint="eastAsia" w:ascii="Times New Roman" w:hAnsi="Times New Roman" w:eastAsia="方正楷体_GBK" w:cs="Times New Roman"/>
          <w:b w:val="0"/>
          <w:bCs w:val="0"/>
          <w:color w:val="auto"/>
          <w:kern w:val="2"/>
          <w:sz w:val="32"/>
          <w:szCs w:val="32"/>
          <w:highlight w:val="none"/>
          <w:lang w:val="en-US" w:eastAsia="zh-CN"/>
        </w:rPr>
        <w:t>三</w:t>
      </w:r>
      <w:r>
        <w:rPr>
          <w:rFonts w:hint="eastAsia" w:ascii="Times New Roman" w:hAnsi="Times New Roman" w:eastAsia="方正楷体_GBK" w:cs="Times New Roman"/>
          <w:b w:val="0"/>
          <w:bCs w:val="0"/>
          <w:color w:val="auto"/>
          <w:kern w:val="2"/>
          <w:sz w:val="32"/>
          <w:szCs w:val="32"/>
          <w:highlight w:val="none"/>
        </w:rPr>
        <w:t xml:space="preserve">节 </w:t>
      </w:r>
      <w:r>
        <w:rPr>
          <w:rFonts w:hint="eastAsia" w:ascii="Times New Roman" w:hAnsi="Times New Roman" w:eastAsia="方正楷体_GBK" w:cs="Times New Roman"/>
          <w:b w:val="0"/>
          <w:bCs w:val="0"/>
          <w:color w:val="auto"/>
          <w:kern w:val="2"/>
          <w:sz w:val="32"/>
          <w:szCs w:val="32"/>
          <w:highlight w:val="none"/>
          <w:lang w:eastAsia="zh-CN"/>
        </w:rPr>
        <w:t>经营主体</w:t>
      </w:r>
      <w:r>
        <w:rPr>
          <w:rFonts w:hint="eastAsia" w:ascii="Times New Roman" w:hAnsi="Times New Roman" w:eastAsia="方正楷体_GBK" w:cs="Times New Roman"/>
          <w:b w:val="0"/>
          <w:bCs w:val="0"/>
          <w:color w:val="auto"/>
          <w:kern w:val="2"/>
          <w:sz w:val="32"/>
          <w:szCs w:val="32"/>
          <w:highlight w:val="none"/>
        </w:rPr>
        <w:t>注册</w:t>
      </w:r>
      <w:r>
        <w:rPr>
          <w:rFonts w:hint="eastAsia" w:ascii="Times New Roman" w:hAnsi="Times New Roman" w:eastAsia="方正楷体_GBK" w:cs="Times New Roman"/>
          <w:b w:val="0"/>
          <w:bCs w:val="0"/>
          <w:color w:val="auto"/>
          <w:kern w:val="2"/>
          <w:sz w:val="32"/>
          <w:szCs w:val="32"/>
          <w:highlight w:val="none"/>
        </w:rPr>
        <w:fldChar w:fldCharType="end"/>
      </w:r>
      <w:bookmarkEnd w:id="64"/>
      <w:bookmarkEnd w:id="65"/>
      <w:bookmarkEnd w:id="66"/>
      <w:bookmarkEnd w:id="67"/>
      <w:bookmarkEnd w:id="68"/>
      <w:bookmarkEnd w:id="69"/>
      <w:bookmarkEnd w:id="70"/>
      <w:bookmarkEnd w:id="71"/>
    </w:p>
    <w:p w14:paraId="3ECAD029">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kern w:val="0"/>
          <w:sz w:val="32"/>
          <w:szCs w:val="32"/>
          <w:highlight w:val="none"/>
        </w:rPr>
        <w:t>经营主体应当</w:t>
      </w:r>
      <w:r>
        <w:rPr>
          <w:rFonts w:hint="eastAsia" w:ascii="Times New Roman" w:hAnsi="Times New Roman" w:eastAsia="方正仿宋_GBK" w:cs="Times New Roman"/>
          <w:b w:val="0"/>
          <w:bCs w:val="0"/>
          <w:color w:val="auto"/>
          <w:kern w:val="0"/>
          <w:sz w:val="32"/>
          <w:szCs w:val="32"/>
          <w:highlight w:val="none"/>
          <w:lang w:val="en-US" w:eastAsia="zh-CN"/>
        </w:rPr>
        <w:t>按照</w:t>
      </w:r>
      <w:r>
        <w:rPr>
          <w:rFonts w:hint="eastAsia" w:ascii="Times New Roman" w:hAnsi="Times New Roman" w:eastAsia="方正仿宋_GBK" w:cs="Times New Roman"/>
          <w:b w:val="0"/>
          <w:bCs w:val="0"/>
          <w:color w:val="auto"/>
          <w:kern w:val="0"/>
          <w:sz w:val="32"/>
          <w:szCs w:val="32"/>
          <w:highlight w:val="none"/>
          <w:lang w:eastAsia="zh"/>
        </w:rPr>
        <w:t>《</w:t>
      </w:r>
      <w:r>
        <w:rPr>
          <w:rFonts w:hint="eastAsia" w:ascii="Times New Roman" w:hAnsi="Times New Roman" w:eastAsia="方正仿宋_GBK" w:cs="Times New Roman"/>
          <w:b w:val="0"/>
          <w:bCs w:val="0"/>
          <w:color w:val="auto"/>
          <w:kern w:val="0"/>
          <w:sz w:val="32"/>
          <w:szCs w:val="32"/>
          <w:highlight w:val="none"/>
        </w:rPr>
        <w:t>电力市场注册基本规则</w:t>
      </w:r>
      <w:r>
        <w:rPr>
          <w:rFonts w:hint="eastAsia" w:ascii="Times New Roman" w:hAnsi="Times New Roman" w:eastAsia="方正仿宋_GBK" w:cs="Times New Roman"/>
          <w:b w:val="0"/>
          <w:bCs w:val="0"/>
          <w:color w:val="auto"/>
          <w:kern w:val="0"/>
          <w:sz w:val="32"/>
          <w:szCs w:val="32"/>
          <w:highlight w:val="none"/>
          <w:lang w:eastAsia="zh"/>
        </w:rPr>
        <w:t>》要求，</w:t>
      </w:r>
      <w:r>
        <w:rPr>
          <w:rFonts w:hint="eastAsia" w:ascii="Times New Roman" w:hAnsi="Times New Roman" w:eastAsia="方正仿宋_GBK" w:cs="Times New Roman"/>
          <w:b w:val="0"/>
          <w:bCs w:val="0"/>
          <w:color w:val="auto"/>
          <w:kern w:val="0"/>
          <w:sz w:val="32"/>
          <w:szCs w:val="32"/>
          <w:highlight w:val="none"/>
        </w:rPr>
        <w:t>在电力交易</w:t>
      </w:r>
      <w:r>
        <w:rPr>
          <w:rFonts w:hint="eastAsia" w:ascii="Times New Roman" w:hAnsi="Times New Roman" w:eastAsia="方正仿宋_GBK" w:cs="Times New Roman"/>
          <w:b w:val="0"/>
          <w:bCs w:val="0"/>
          <w:color w:val="auto"/>
          <w:kern w:val="0"/>
          <w:sz w:val="32"/>
          <w:szCs w:val="32"/>
          <w:highlight w:val="none"/>
          <w:lang w:val="en-US" w:eastAsia="zh-CN"/>
        </w:rPr>
        <w:t>平台</w:t>
      </w:r>
      <w:r>
        <w:rPr>
          <w:rFonts w:hint="eastAsia" w:ascii="Times New Roman" w:hAnsi="Times New Roman" w:eastAsia="方正仿宋_GBK" w:cs="Times New Roman"/>
          <w:b w:val="0"/>
          <w:bCs w:val="0"/>
          <w:color w:val="auto"/>
          <w:kern w:val="0"/>
          <w:sz w:val="32"/>
          <w:szCs w:val="32"/>
          <w:highlight w:val="none"/>
        </w:rPr>
        <w:t>办理市场注册</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kern w:val="0"/>
          <w:sz w:val="32"/>
          <w:szCs w:val="32"/>
          <w:highlight w:val="none"/>
          <w:lang w:val="en-US" w:eastAsia="zh-CN"/>
        </w:rPr>
        <w:t>变更与注销。</w:t>
      </w:r>
      <w:r>
        <w:rPr>
          <w:rFonts w:hint="eastAsia" w:ascii="Times New Roman" w:hAnsi="Times New Roman" w:eastAsia="方正仿宋_GBK" w:cs="Times New Roman"/>
          <w:b w:val="0"/>
          <w:bCs w:val="0"/>
          <w:color w:val="auto"/>
          <w:kern w:val="0"/>
          <w:sz w:val="32"/>
          <w:szCs w:val="32"/>
          <w:highlight w:val="none"/>
        </w:rPr>
        <w:t>经营主体在履行市场注册程序后，参与</w:t>
      </w:r>
      <w:r>
        <w:rPr>
          <w:rFonts w:hint="eastAsia" w:ascii="Times New Roman" w:hAnsi="Times New Roman" w:eastAsia="方正仿宋_GBK" w:cs="Times New Roman"/>
          <w:b w:val="0"/>
          <w:bCs w:val="0"/>
          <w:color w:val="auto"/>
          <w:kern w:val="0"/>
          <w:sz w:val="32"/>
          <w:szCs w:val="32"/>
          <w:highlight w:val="none"/>
          <w:lang w:val="en-US" w:eastAsia="zh-CN"/>
        </w:rPr>
        <w:t>电力中长期</w:t>
      </w:r>
      <w:r>
        <w:rPr>
          <w:rFonts w:hint="eastAsia" w:ascii="Times New Roman" w:hAnsi="Times New Roman" w:eastAsia="方正仿宋_GBK" w:cs="Times New Roman"/>
          <w:b w:val="0"/>
          <w:bCs w:val="0"/>
          <w:color w:val="auto"/>
          <w:kern w:val="0"/>
          <w:sz w:val="32"/>
          <w:szCs w:val="32"/>
          <w:highlight w:val="none"/>
          <w:lang w:val="en-US" w:eastAsia="zh-CN"/>
        </w:rPr>
        <w:t>市场</w:t>
      </w:r>
      <w:r>
        <w:rPr>
          <w:rFonts w:hint="eastAsia" w:ascii="Times New Roman" w:hAnsi="Times New Roman" w:eastAsia="方正仿宋_GBK" w:cs="Times New Roman"/>
          <w:b w:val="0"/>
          <w:bCs w:val="0"/>
          <w:strike w:val="0"/>
          <w:dstrike w:val="0"/>
          <w:color w:val="auto"/>
          <w:kern w:val="0"/>
          <w:sz w:val="32"/>
          <w:szCs w:val="32"/>
          <w:highlight w:val="none"/>
          <w:lang w:val="en-US" w:eastAsia="zh-CN"/>
        </w:rPr>
        <w:t>。</w:t>
      </w:r>
    </w:p>
    <w:p w14:paraId="3B0A6399">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i w:val="0"/>
          <w:iCs w:val="0"/>
          <w:caps w:val="0"/>
          <w:color w:val="auto"/>
          <w:spacing w:val="0"/>
          <w:sz w:val="32"/>
          <w:szCs w:val="32"/>
          <w:highlight w:val="none"/>
          <w:u w:val="none"/>
          <w:lang w:bidi="ar"/>
        </w:rPr>
      </w:pP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直接</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参</w:t>
      </w:r>
      <w:r>
        <w:rPr>
          <w:rFonts w:hint="eastAsia" w:ascii="Times New Roman" w:hAnsi="Times New Roman" w:eastAsia="方正仿宋_GBK" w:cs="Times New Roman"/>
          <w:b w:val="0"/>
          <w:bCs w:val="0"/>
          <w:i w:val="0"/>
          <w:iCs w:val="0"/>
          <w:caps w:val="0"/>
          <w:color w:val="auto"/>
          <w:spacing w:val="0"/>
          <w:sz w:val="32"/>
          <w:szCs w:val="32"/>
          <w:highlight w:val="none"/>
          <w:u w:val="none"/>
          <w:lang w:eastAsia="zh-CN" w:bidi="ar"/>
        </w:rPr>
        <w:t>与</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的电力用户（名下所有营销户号、计量点）全部电量</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可</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通过批发</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或零售</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购买，</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但</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不得同时</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参与</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批发</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和零售</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w:t>
      </w:r>
    </w:p>
    <w:p w14:paraId="1F41474B">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i w:val="0"/>
          <w:iCs w:val="0"/>
          <w:caps w:val="0"/>
          <w:color w:val="auto"/>
          <w:spacing w:val="0"/>
          <w:sz w:val="32"/>
          <w:szCs w:val="32"/>
          <w:highlight w:val="none"/>
          <w:u w:val="none"/>
          <w:lang w:bidi="ar"/>
        </w:rPr>
      </w:pPr>
      <w:r>
        <w:rPr>
          <w:rFonts w:hint="eastAsia" w:ascii="Times New Roman" w:hAnsi="Times New Roman" w:eastAsia="方正仿宋_GBK" w:cs="Times New Roman"/>
          <w:b w:val="0"/>
          <w:bCs w:val="0"/>
          <w:color w:val="auto"/>
          <w:sz w:val="32"/>
          <w:szCs w:val="32"/>
          <w:highlight w:val="none"/>
          <w:u w:val="none"/>
          <w:lang w:bidi="ar"/>
        </w:rPr>
        <w:t>暂未直接参与市场的电力用户按规定由电网企业代理购电。</w:t>
      </w:r>
      <w:r>
        <w:rPr>
          <w:rFonts w:hint="eastAsia" w:ascii="Times New Roman" w:hAnsi="Times New Roman" w:eastAsia="方正仿宋_GBK" w:cs="Times New Roman"/>
          <w:b w:val="0"/>
          <w:bCs w:val="0"/>
          <w:color w:val="auto"/>
          <w:kern w:val="0"/>
          <w:sz w:val="32"/>
          <w:szCs w:val="32"/>
          <w:highlight w:val="none"/>
          <w:lang w:val="en-US" w:eastAsia="zh-CN" w:bidi="ar"/>
        </w:rPr>
        <w:t>由电网企业代理购电的工商业用户</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，允许在</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次月</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选择</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直接</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参加批发</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或零售</w:t>
      </w:r>
      <w:r>
        <w:rPr>
          <w:rFonts w:hint="eastAsia" w:ascii="Times New Roman" w:hAnsi="Times New Roman" w:eastAsia="方正仿宋_GBK" w:cs="Times New Roman"/>
          <w:b w:val="0"/>
          <w:bCs w:val="0"/>
          <w:i w:val="0"/>
          <w:iCs w:val="0"/>
          <w:caps w:val="0"/>
          <w:color w:val="auto"/>
          <w:spacing w:val="0"/>
          <w:sz w:val="32"/>
          <w:szCs w:val="32"/>
          <w:highlight w:val="none"/>
          <w:u w:val="none"/>
          <w:lang w:val="en-US" w:eastAsia="zh-CN" w:bidi="ar"/>
        </w:rPr>
        <w:t>市场</w:t>
      </w:r>
      <w:r>
        <w:rPr>
          <w:rFonts w:hint="eastAsia" w:ascii="Times New Roman" w:hAnsi="Times New Roman" w:eastAsia="方正仿宋_GBK" w:cs="Times New Roman"/>
          <w:b w:val="0"/>
          <w:bCs w:val="0"/>
          <w:i w:val="0"/>
          <w:iCs w:val="0"/>
          <w:caps w:val="0"/>
          <w:color w:val="auto"/>
          <w:spacing w:val="0"/>
          <w:sz w:val="32"/>
          <w:szCs w:val="32"/>
          <w:highlight w:val="none"/>
          <w:u w:val="none"/>
          <w:lang w:bidi="ar"/>
        </w:rPr>
        <w:t>。</w:t>
      </w:r>
    </w:p>
    <w:p w14:paraId="571A83C5">
      <w:pPr>
        <w:pStyle w:val="2"/>
        <w:widowControl/>
        <w:adjustRightInd w:val="0"/>
        <w:snapToGrid w:val="0"/>
        <w:spacing w:line="588" w:lineRule="exact"/>
        <w:jc w:val="center"/>
        <w:rPr>
          <w:rFonts w:hint="eastAsia" w:ascii="Times New Roman" w:hAnsi="Times New Roman" w:eastAsia="方正楷体_GBK" w:cs="Times New Roman"/>
          <w:b w:val="0"/>
          <w:bCs w:val="0"/>
          <w:color w:val="auto"/>
          <w:sz w:val="32"/>
          <w:szCs w:val="32"/>
          <w:highlight w:val="none"/>
          <w:lang w:eastAsia="zh"/>
        </w:rPr>
      </w:pPr>
      <w:bookmarkStart w:id="72" w:name="_Toc948521775"/>
      <w:bookmarkStart w:id="73" w:name="_Toc1047316074"/>
      <w:r>
        <w:rPr>
          <w:rFonts w:hint="eastAsia" w:ascii="Times New Roman" w:hAnsi="Times New Roman" w:eastAsia="方正楷体_GBK" w:cs="Times New Roman"/>
          <w:b w:val="0"/>
          <w:bCs w:val="0"/>
          <w:color w:val="auto"/>
          <w:sz w:val="32"/>
          <w:szCs w:val="32"/>
          <w:highlight w:val="none"/>
          <w:lang w:eastAsia="zh"/>
        </w:rPr>
        <w:t>第</w:t>
      </w:r>
      <w:r>
        <w:rPr>
          <w:rFonts w:hint="eastAsia" w:ascii="Times New Roman" w:hAnsi="Times New Roman" w:eastAsia="方正楷体_GBK" w:cs="Times New Roman"/>
          <w:b w:val="0"/>
          <w:bCs w:val="0"/>
          <w:color w:val="auto"/>
          <w:sz w:val="32"/>
          <w:szCs w:val="32"/>
          <w:highlight w:val="none"/>
          <w:lang w:eastAsia="zh-CN"/>
        </w:rPr>
        <w:t>四节</w:t>
      </w:r>
      <w:r>
        <w:rPr>
          <w:rFonts w:hint="eastAsia" w:ascii="Times New Roman" w:hAnsi="Times New Roman" w:eastAsia="方正楷体_GBK" w:cs="Times New Roman"/>
          <w:b w:val="0"/>
          <w:bCs w:val="0"/>
          <w:color w:val="auto"/>
          <w:sz w:val="32"/>
          <w:szCs w:val="32"/>
          <w:highlight w:val="none"/>
          <w:lang w:eastAsia="zh"/>
        </w:rPr>
        <w:t xml:space="preserve"> </w:t>
      </w:r>
      <w:r>
        <w:rPr>
          <w:rFonts w:hint="eastAsia" w:ascii="Times New Roman" w:hAnsi="Times New Roman" w:eastAsia="方正楷体_GBK" w:cs="Times New Roman"/>
          <w:b w:val="0"/>
          <w:bCs w:val="0"/>
          <w:color w:val="auto"/>
          <w:sz w:val="32"/>
          <w:szCs w:val="32"/>
          <w:highlight w:val="none"/>
          <w:lang w:val="en-US" w:eastAsia="zh-CN"/>
        </w:rPr>
        <w:t>新型经营主体</w:t>
      </w:r>
      <w:bookmarkEnd w:id="72"/>
      <w:bookmarkEnd w:id="73"/>
    </w:p>
    <w:p w14:paraId="46391796">
      <w:pPr>
        <w:pageBreakBefore w:val="0"/>
        <w:numPr>
          <w:ilvl w:val="0"/>
          <w:numId w:val="4"/>
        </w:numPr>
        <w:kinsoku/>
        <w:wordWrap/>
        <w:overflowPunct/>
        <w:topLinePunct w:val="0"/>
        <w:autoSpaceDN/>
        <w:bidi w:val="0"/>
        <w:adjustRightInd w:val="0"/>
        <w:snapToGrid w:val="0"/>
        <w:spacing w:line="588" w:lineRule="exact"/>
        <w:ind w:left="-13" w:firstLine="723" w:firstLineChars="0"/>
        <w:rPr>
          <w:rFonts w:hint="eastAsia" w:ascii="Times New Roman" w:hAnsi="Times New Roman" w:eastAsia="方正仿宋_GBK" w:cs="Times New Roman"/>
          <w:b w:val="0"/>
          <w:bCs w:val="0"/>
          <w:color w:val="auto"/>
          <w:spacing w:val="-8"/>
          <w:kern w:val="0"/>
          <w:sz w:val="32"/>
          <w:szCs w:val="32"/>
          <w:highlight w:val="none"/>
        </w:rPr>
      </w:pPr>
      <w:r>
        <w:rPr>
          <w:rFonts w:hint="eastAsia" w:ascii="Times New Roman" w:hAnsi="Times New Roman" w:eastAsia="方正仿宋_GBK" w:cs="Times New Roman"/>
          <w:b w:val="0"/>
          <w:bCs w:val="0"/>
          <w:color w:val="auto"/>
          <w:spacing w:val="13"/>
          <w:kern w:val="0"/>
          <w:sz w:val="32"/>
          <w:szCs w:val="32"/>
          <w:highlight w:val="none"/>
        </w:rPr>
        <w:t>新型</w:t>
      </w:r>
      <w:r>
        <w:rPr>
          <w:rFonts w:hint="eastAsia" w:ascii="Times New Roman" w:hAnsi="Times New Roman" w:eastAsia="方正仿宋_GBK" w:cs="Times New Roman"/>
          <w:b w:val="0"/>
          <w:bCs w:val="0"/>
          <w:color w:val="auto"/>
          <w:sz w:val="32"/>
          <w:szCs w:val="32"/>
          <w:highlight w:val="none"/>
          <w:lang w:bidi="ar"/>
        </w:rPr>
        <w:t>经营</w:t>
      </w:r>
      <w:r>
        <w:rPr>
          <w:rFonts w:hint="eastAsia" w:ascii="Times New Roman" w:hAnsi="Times New Roman" w:eastAsia="方正仿宋_GBK" w:cs="Times New Roman"/>
          <w:b w:val="0"/>
          <w:bCs w:val="0"/>
          <w:color w:val="auto"/>
          <w:spacing w:val="13"/>
          <w:kern w:val="0"/>
          <w:sz w:val="32"/>
          <w:szCs w:val="32"/>
          <w:highlight w:val="none"/>
        </w:rPr>
        <w:t>主体</w:t>
      </w:r>
      <w:r>
        <w:rPr>
          <w:rFonts w:hint="eastAsia" w:ascii="Times New Roman" w:hAnsi="Times New Roman" w:eastAsia="方正仿宋_GBK" w:cs="Times New Roman"/>
          <w:b w:val="0"/>
          <w:bCs w:val="0"/>
          <w:color w:val="auto"/>
          <w:spacing w:val="13"/>
          <w:kern w:val="0"/>
          <w:sz w:val="32"/>
          <w:szCs w:val="32"/>
          <w:highlight w:val="none"/>
          <w:lang w:val="en-US" w:eastAsia="zh-CN"/>
        </w:rPr>
        <w:t>包括</w:t>
      </w:r>
      <w:r>
        <w:rPr>
          <w:rFonts w:hint="eastAsia" w:ascii="Times New Roman" w:hAnsi="Times New Roman" w:eastAsia="方正仿宋_GBK" w:cs="Times New Roman"/>
          <w:b w:val="0"/>
          <w:bCs w:val="0"/>
          <w:color w:val="auto"/>
          <w:spacing w:val="13"/>
          <w:kern w:val="0"/>
          <w:sz w:val="32"/>
          <w:szCs w:val="32"/>
          <w:highlight w:val="none"/>
        </w:rPr>
        <w:t>单一技术和资源聚合</w:t>
      </w:r>
      <w:r>
        <w:rPr>
          <w:rFonts w:hint="eastAsia" w:ascii="Times New Roman" w:hAnsi="Times New Roman" w:eastAsia="方正仿宋_GBK" w:cs="Times New Roman"/>
          <w:b w:val="0"/>
          <w:bCs w:val="0"/>
          <w:color w:val="auto"/>
          <w:spacing w:val="13"/>
          <w:kern w:val="0"/>
          <w:sz w:val="32"/>
          <w:szCs w:val="32"/>
          <w:highlight w:val="none"/>
          <w:lang w:val="en-US" w:eastAsia="zh-CN"/>
        </w:rPr>
        <w:t>两类，其中</w:t>
      </w:r>
      <w:r>
        <w:rPr>
          <w:rFonts w:hint="eastAsia" w:ascii="Times New Roman" w:hAnsi="Times New Roman" w:eastAsia="方正仿宋_GBK" w:cs="Times New Roman"/>
          <w:b w:val="0"/>
          <w:bCs w:val="0"/>
          <w:color w:val="auto"/>
          <w:spacing w:val="13"/>
          <w:kern w:val="0"/>
          <w:sz w:val="32"/>
          <w:szCs w:val="32"/>
          <w:highlight w:val="none"/>
        </w:rPr>
        <w:t>资源聚合</w:t>
      </w:r>
      <w:r>
        <w:rPr>
          <w:rFonts w:hint="eastAsia" w:ascii="Times New Roman" w:hAnsi="Times New Roman" w:eastAsia="方正仿宋_GBK" w:cs="Times New Roman"/>
          <w:b w:val="0"/>
          <w:bCs w:val="0"/>
          <w:color w:val="auto"/>
          <w:spacing w:val="13"/>
          <w:kern w:val="0"/>
          <w:sz w:val="32"/>
          <w:szCs w:val="32"/>
          <w:highlight w:val="none"/>
          <w:lang w:val="en-US" w:eastAsia="zh-CN"/>
        </w:rPr>
        <w:t>类</w:t>
      </w:r>
      <w:r>
        <w:rPr>
          <w:rFonts w:hint="eastAsia" w:ascii="Times New Roman" w:hAnsi="Times New Roman" w:eastAsia="方正仿宋_GBK" w:cs="Times New Roman"/>
          <w:b w:val="0"/>
          <w:bCs w:val="0"/>
          <w:color w:val="auto"/>
          <w:spacing w:val="13"/>
          <w:kern w:val="0"/>
          <w:sz w:val="32"/>
          <w:szCs w:val="32"/>
          <w:highlight w:val="none"/>
        </w:rPr>
        <w:t>新型</w:t>
      </w:r>
      <w:r>
        <w:rPr>
          <w:rFonts w:hint="eastAsia" w:ascii="Times New Roman" w:hAnsi="Times New Roman" w:eastAsia="方正仿宋_GBK" w:cs="Times New Roman"/>
          <w:b w:val="0"/>
          <w:bCs w:val="0"/>
          <w:color w:val="auto"/>
          <w:sz w:val="32"/>
          <w:szCs w:val="32"/>
          <w:highlight w:val="none"/>
          <w:lang w:bidi="ar"/>
        </w:rPr>
        <w:t>经营</w:t>
      </w:r>
      <w:r>
        <w:rPr>
          <w:rFonts w:hint="eastAsia" w:ascii="Times New Roman" w:hAnsi="Times New Roman" w:eastAsia="方正仿宋_GBK" w:cs="Times New Roman"/>
          <w:b w:val="0"/>
          <w:bCs w:val="0"/>
          <w:color w:val="auto"/>
          <w:spacing w:val="13"/>
          <w:kern w:val="0"/>
          <w:sz w:val="32"/>
          <w:szCs w:val="32"/>
          <w:highlight w:val="none"/>
        </w:rPr>
        <w:t>主体</w:t>
      </w:r>
      <w:r>
        <w:rPr>
          <w:rFonts w:hint="eastAsia" w:ascii="Times New Roman" w:hAnsi="Times New Roman" w:eastAsia="方正仿宋_GBK" w:cs="Times New Roman"/>
          <w:b w:val="0"/>
          <w:bCs w:val="0"/>
          <w:color w:val="auto"/>
          <w:sz w:val="32"/>
          <w:szCs w:val="32"/>
          <w:highlight w:val="none"/>
          <w:shd w:val="clear" w:fill="auto"/>
          <w:lang w:val="en-US" w:eastAsia="zh-CN"/>
        </w:rPr>
        <w:t>是一个或多个聚合单元的运营主体。新型</w:t>
      </w:r>
      <w:r>
        <w:rPr>
          <w:rFonts w:hint="eastAsia" w:ascii="Times New Roman" w:hAnsi="Times New Roman" w:eastAsia="方正仿宋_GBK" w:cs="Times New Roman"/>
          <w:b w:val="0"/>
          <w:bCs w:val="0"/>
          <w:color w:val="auto"/>
          <w:sz w:val="32"/>
          <w:szCs w:val="32"/>
          <w:highlight w:val="none"/>
          <w:lang w:bidi="ar"/>
        </w:rPr>
        <w:t>经营</w:t>
      </w:r>
      <w:r>
        <w:rPr>
          <w:rFonts w:hint="eastAsia" w:ascii="Times New Roman" w:hAnsi="Times New Roman" w:eastAsia="方正仿宋_GBK" w:cs="Times New Roman"/>
          <w:b w:val="0"/>
          <w:bCs w:val="0"/>
          <w:color w:val="auto"/>
          <w:spacing w:val="13"/>
          <w:kern w:val="0"/>
          <w:sz w:val="32"/>
          <w:szCs w:val="32"/>
          <w:highlight w:val="none"/>
        </w:rPr>
        <w:t>主体</w:t>
      </w:r>
      <w:r>
        <w:rPr>
          <w:rFonts w:hint="eastAsia" w:ascii="Times New Roman" w:hAnsi="Times New Roman" w:eastAsia="方正仿宋_GBK" w:cs="Times New Roman"/>
          <w:b w:val="0"/>
          <w:bCs w:val="0"/>
          <w:color w:val="auto"/>
          <w:sz w:val="32"/>
          <w:szCs w:val="32"/>
          <w:highlight w:val="none"/>
          <w:shd w:val="clear" w:fill="auto"/>
          <w:lang w:val="en-US" w:eastAsia="zh-CN"/>
        </w:rPr>
        <w:t>可</w:t>
      </w:r>
      <w:r>
        <w:rPr>
          <w:rFonts w:hint="eastAsia" w:ascii="Times New Roman" w:hAnsi="Times New Roman" w:eastAsia="方正仿宋_GBK" w:cs="Times New Roman"/>
          <w:b w:val="0"/>
          <w:bCs w:val="0"/>
          <w:color w:val="auto"/>
          <w:sz w:val="32"/>
          <w:szCs w:val="32"/>
          <w:highlight w:val="none"/>
        </w:rPr>
        <w:t>根据电力电量平衡需求灵活参与各时间尺度</w:t>
      </w:r>
      <w:r>
        <w:rPr>
          <w:rFonts w:hint="eastAsia" w:ascii="Times New Roman" w:hAnsi="Times New Roman" w:eastAsia="方正仿宋_GBK" w:cs="Times New Roman"/>
          <w:b w:val="0"/>
          <w:bCs w:val="0"/>
          <w:color w:val="auto"/>
          <w:sz w:val="32"/>
          <w:szCs w:val="32"/>
          <w:highlight w:val="none"/>
          <w:lang w:eastAsia="zh-CN"/>
        </w:rPr>
        <w:t>电力中长期交易，</w:t>
      </w:r>
      <w:r>
        <w:rPr>
          <w:rFonts w:hint="eastAsia" w:ascii="Times New Roman" w:hAnsi="Times New Roman" w:eastAsia="方正仿宋_GBK" w:cs="Times New Roman"/>
          <w:b w:val="0"/>
          <w:bCs w:val="0"/>
          <w:color w:val="auto"/>
          <w:spacing w:val="0"/>
          <w:kern w:val="2"/>
          <w:sz w:val="32"/>
          <w:szCs w:val="32"/>
          <w:highlight w:val="none"/>
          <w:lang w:val="en-US" w:eastAsia="zh-CN"/>
        </w:rPr>
        <w:t>签订</w:t>
      </w:r>
      <w:r>
        <w:rPr>
          <w:rFonts w:hint="eastAsia" w:ascii="Times New Roman" w:hAnsi="Times New Roman" w:eastAsia="方正仿宋_GBK" w:cs="Times New Roman"/>
          <w:b w:val="0"/>
          <w:bCs w:val="0"/>
          <w:color w:val="auto"/>
          <w:spacing w:val="0"/>
          <w:kern w:val="2"/>
          <w:sz w:val="32"/>
          <w:szCs w:val="32"/>
          <w:highlight w:val="none"/>
        </w:rPr>
        <w:t>电力中长期</w:t>
      </w:r>
      <w:r>
        <w:rPr>
          <w:rFonts w:hint="eastAsia" w:ascii="Times New Roman" w:hAnsi="Times New Roman" w:eastAsia="方正仿宋_GBK" w:cs="Times New Roman"/>
          <w:b w:val="0"/>
          <w:bCs w:val="0"/>
          <w:color w:val="auto"/>
          <w:spacing w:val="0"/>
          <w:kern w:val="2"/>
          <w:sz w:val="32"/>
          <w:szCs w:val="32"/>
          <w:highlight w:val="none"/>
          <w:lang w:eastAsia="zh-CN"/>
        </w:rPr>
        <w:t>合同</w:t>
      </w:r>
      <w:r>
        <w:rPr>
          <w:rFonts w:hint="eastAsia" w:ascii="Times New Roman" w:hAnsi="Times New Roman" w:eastAsia="方正仿宋_GBK" w:cs="Times New Roman"/>
          <w:b w:val="0"/>
          <w:bCs w:val="0"/>
          <w:color w:val="auto"/>
          <w:spacing w:val="0"/>
          <w:kern w:val="2"/>
          <w:sz w:val="32"/>
          <w:szCs w:val="32"/>
          <w:highlight w:val="none"/>
        </w:rPr>
        <w:t>并根据电网运行需要</w:t>
      </w:r>
      <w:r>
        <w:rPr>
          <w:rFonts w:hint="eastAsia" w:ascii="Times New Roman" w:hAnsi="Times New Roman" w:eastAsia="方正仿宋_GBK" w:cs="Times New Roman"/>
          <w:b w:val="0"/>
          <w:bCs w:val="0"/>
          <w:color w:val="auto"/>
          <w:spacing w:val="0"/>
          <w:kern w:val="2"/>
          <w:sz w:val="32"/>
          <w:szCs w:val="32"/>
          <w:highlight w:val="none"/>
          <w:lang w:val="en-US" w:eastAsia="zh-CN"/>
        </w:rPr>
        <w:t>进行</w:t>
      </w:r>
      <w:r>
        <w:rPr>
          <w:rFonts w:hint="eastAsia" w:ascii="Times New Roman" w:hAnsi="Times New Roman" w:eastAsia="方正仿宋_GBK" w:cs="Times New Roman"/>
          <w:b w:val="0"/>
          <w:bCs w:val="0"/>
          <w:color w:val="auto"/>
          <w:spacing w:val="0"/>
          <w:kern w:val="2"/>
          <w:sz w:val="32"/>
          <w:szCs w:val="32"/>
          <w:highlight w:val="none"/>
        </w:rPr>
        <w:t>调用</w:t>
      </w:r>
      <w:r>
        <w:rPr>
          <w:rFonts w:hint="eastAsia" w:ascii="Times New Roman" w:hAnsi="Times New Roman" w:eastAsia="方正仿宋_GBK" w:cs="Times New Roman"/>
          <w:b w:val="0"/>
          <w:bCs w:val="0"/>
          <w:color w:val="auto"/>
          <w:spacing w:val="0"/>
          <w:kern w:val="2"/>
          <w:sz w:val="32"/>
          <w:szCs w:val="32"/>
          <w:highlight w:val="none"/>
          <w:lang w:eastAsia="zh-CN"/>
        </w:rPr>
        <w:t>，</w:t>
      </w:r>
      <w:r>
        <w:rPr>
          <w:rFonts w:hint="eastAsia" w:ascii="Times New Roman" w:hAnsi="Times New Roman" w:eastAsia="方正仿宋_GBK" w:cs="Times New Roman"/>
          <w:b w:val="0"/>
          <w:bCs w:val="0"/>
          <w:strike w:val="0"/>
          <w:color w:val="auto"/>
          <w:sz w:val="32"/>
          <w:szCs w:val="32"/>
          <w:highlight w:val="none"/>
          <w:lang w:val="en-US" w:eastAsia="zh-CN"/>
        </w:rPr>
        <w:t>实现市场化</w:t>
      </w:r>
      <w:r>
        <w:rPr>
          <w:rFonts w:hint="eastAsia" w:ascii="Times New Roman" w:hAnsi="Times New Roman" w:eastAsia="方正仿宋_GBK" w:cs="Times New Roman"/>
          <w:b w:val="0"/>
          <w:bCs w:val="0"/>
          <w:strike w:val="0"/>
          <w:color w:val="auto"/>
          <w:spacing w:val="13"/>
          <w:kern w:val="0"/>
          <w:sz w:val="32"/>
          <w:szCs w:val="32"/>
          <w:highlight w:val="none"/>
        </w:rPr>
        <w:t>需求响应</w:t>
      </w:r>
      <w:r>
        <w:rPr>
          <w:rFonts w:hint="eastAsia" w:ascii="Times New Roman" w:hAnsi="Times New Roman" w:eastAsia="方正仿宋_GBK" w:cs="Times New Roman"/>
          <w:b w:val="0"/>
          <w:bCs w:val="0"/>
          <w:color w:val="auto"/>
          <w:spacing w:val="13"/>
          <w:kern w:val="0"/>
          <w:sz w:val="32"/>
          <w:szCs w:val="32"/>
          <w:highlight w:val="none"/>
          <w:lang w:eastAsia="zh-CN"/>
        </w:rPr>
        <w:t>。</w:t>
      </w:r>
    </w:p>
    <w:p w14:paraId="1B83D9DE">
      <w:pPr>
        <w:pageBreakBefore w:val="0"/>
        <w:numPr>
          <w:ilvl w:val="0"/>
          <w:numId w:val="4"/>
        </w:numPr>
        <w:kinsoku/>
        <w:wordWrap/>
        <w:overflowPunct/>
        <w:topLinePunct w:val="0"/>
        <w:autoSpaceDN/>
        <w:bidi w:val="0"/>
        <w:adjustRightInd w:val="0"/>
        <w:snapToGrid w:val="0"/>
        <w:spacing w:line="588" w:lineRule="exact"/>
        <w:ind w:left="-13" w:firstLine="723" w:firstLineChars="0"/>
        <w:rPr>
          <w:rFonts w:hint="eastAsia" w:ascii="Times New Roman" w:hAnsi="Times New Roman" w:eastAsia="方正仿宋_GBK" w:cs="Times New Roman"/>
          <w:b w:val="0"/>
          <w:bCs w:val="0"/>
          <w:color w:val="auto"/>
          <w:spacing w:val="-8"/>
          <w:kern w:val="0"/>
          <w:sz w:val="32"/>
          <w:szCs w:val="32"/>
          <w:highlight w:val="none"/>
        </w:rPr>
      </w:pPr>
      <w:r>
        <w:rPr>
          <w:rFonts w:hint="eastAsia" w:ascii="Times New Roman" w:hAnsi="Times New Roman" w:eastAsia="方正仿宋_GBK" w:cs="Times New Roman"/>
          <w:b w:val="0"/>
          <w:bCs w:val="0"/>
          <w:color w:val="auto"/>
          <w:spacing w:val="13"/>
          <w:kern w:val="0"/>
          <w:sz w:val="32"/>
          <w:szCs w:val="32"/>
          <w:highlight w:val="none"/>
          <w:lang w:val="en-US" w:eastAsia="zh-CN"/>
        </w:rPr>
        <w:t>新型</w:t>
      </w:r>
      <w:r>
        <w:rPr>
          <w:rFonts w:hint="eastAsia" w:ascii="Times New Roman" w:hAnsi="Times New Roman" w:eastAsia="方正仿宋_GBK" w:cs="Times New Roman"/>
          <w:b w:val="0"/>
          <w:bCs w:val="0"/>
          <w:color w:val="auto"/>
          <w:sz w:val="32"/>
          <w:szCs w:val="32"/>
          <w:highlight w:val="none"/>
          <w:lang w:bidi="ar"/>
        </w:rPr>
        <w:t>经营</w:t>
      </w:r>
      <w:r>
        <w:rPr>
          <w:rFonts w:hint="eastAsia" w:ascii="Times New Roman" w:hAnsi="Times New Roman" w:eastAsia="方正仿宋_GBK" w:cs="Times New Roman"/>
          <w:b w:val="0"/>
          <w:bCs w:val="0"/>
          <w:color w:val="auto"/>
          <w:spacing w:val="13"/>
          <w:kern w:val="0"/>
          <w:sz w:val="32"/>
          <w:szCs w:val="32"/>
          <w:highlight w:val="none"/>
          <w:lang w:val="en-US" w:eastAsia="zh-CN"/>
        </w:rPr>
        <w:t>主体</w:t>
      </w:r>
      <w:r>
        <w:rPr>
          <w:rFonts w:hint="eastAsia" w:ascii="Times New Roman" w:hAnsi="Times New Roman" w:eastAsia="方正仿宋_GBK" w:cs="Times New Roman"/>
          <w:b w:val="0"/>
          <w:bCs w:val="0"/>
          <w:color w:val="auto"/>
          <w:sz w:val="32"/>
          <w:szCs w:val="32"/>
          <w:highlight w:val="none"/>
          <w:lang w:bidi="ar"/>
        </w:rPr>
        <w:t>与其他经营主体享有平等的市场地位，并按有关规定公平承担</w:t>
      </w:r>
      <w:r>
        <w:rPr>
          <w:rFonts w:hint="eastAsia" w:ascii="Times New Roman" w:hAnsi="Times New Roman" w:eastAsia="方正仿宋_GBK" w:cs="Times New Roman"/>
          <w:b w:val="0"/>
          <w:bCs w:val="0"/>
          <w:color w:val="auto"/>
          <w:sz w:val="32"/>
          <w:szCs w:val="32"/>
          <w:highlight w:val="none"/>
          <w:lang w:val="en-US" w:eastAsia="zh-CN" w:bidi="ar"/>
        </w:rPr>
        <w:t>相关费用</w:t>
      </w:r>
      <w:r>
        <w:rPr>
          <w:rFonts w:hint="eastAsia" w:ascii="Times New Roman" w:hAnsi="Times New Roman" w:eastAsia="方正仿宋_GBK" w:cs="Times New Roman"/>
          <w:b w:val="0"/>
          <w:bCs w:val="0"/>
          <w:color w:val="auto"/>
          <w:sz w:val="32"/>
          <w:szCs w:val="32"/>
          <w:highlight w:val="none"/>
          <w:lang w:bidi="ar"/>
        </w:rPr>
        <w:t>。</w:t>
      </w:r>
    </w:p>
    <w:p w14:paraId="6E086134">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pacing w:val="0"/>
          <w:kern w:val="2"/>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bidi="ar"/>
        </w:rPr>
        <w:t>独立储能在放电时段按发电企业身份参与交易</w:t>
      </w:r>
      <w:r>
        <w:rPr>
          <w:rFonts w:hint="eastAsia" w:ascii="Times New Roman" w:hAnsi="Times New Roman" w:eastAsia="方正仿宋_GBK" w:cs="Times New Roman"/>
          <w:b w:val="0"/>
          <w:bCs w:val="0"/>
          <w:color w:val="auto"/>
          <w:sz w:val="32"/>
          <w:szCs w:val="32"/>
          <w:highlight w:val="none"/>
          <w:lang w:eastAsia="zh-CN" w:bidi="ar"/>
        </w:rPr>
        <w:t>，</w:t>
      </w:r>
      <w:r>
        <w:rPr>
          <w:rFonts w:hint="eastAsia" w:ascii="Times New Roman" w:hAnsi="Times New Roman" w:eastAsia="方正仿宋_GBK" w:cs="Times New Roman"/>
          <w:b w:val="0"/>
          <w:bCs w:val="0"/>
          <w:color w:val="auto"/>
          <w:sz w:val="32"/>
          <w:szCs w:val="32"/>
          <w:highlight w:val="none"/>
          <w:lang w:bidi="ar"/>
        </w:rPr>
        <w:t>在充电时段按电力用户身份参与交易。</w:t>
      </w:r>
    </w:p>
    <w:p w14:paraId="71322B8E">
      <w:pPr>
        <w:pageBreakBefore w:val="0"/>
        <w:numPr>
          <w:ilvl w:val="0"/>
          <w:numId w:val="4"/>
        </w:numPr>
        <w:kinsoku/>
        <w:wordWrap/>
        <w:overflowPunct/>
        <w:topLinePunct w:val="0"/>
        <w:autoSpaceDN/>
        <w:bidi w:val="0"/>
        <w:adjustRightInd w:val="0"/>
        <w:snapToGrid w:val="0"/>
        <w:spacing w:line="588" w:lineRule="exact"/>
        <w:ind w:leftChars="0" w:firstLine="640" w:firstLineChars="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同一聚合资源</w:t>
      </w:r>
      <w:r>
        <w:rPr>
          <w:rFonts w:hint="eastAsia" w:ascii="Times New Roman" w:hAnsi="Times New Roman" w:eastAsia="方正仿宋_GBK" w:cs="Times New Roman"/>
          <w:b w:val="0"/>
          <w:bCs w:val="0"/>
          <w:color w:val="auto"/>
          <w:sz w:val="32"/>
          <w:szCs w:val="32"/>
          <w:highlight w:val="none"/>
        </w:rPr>
        <w:t>在同一</w:t>
      </w:r>
      <w:r>
        <w:rPr>
          <w:rFonts w:hint="eastAsia" w:ascii="Times New Roman" w:hAnsi="Times New Roman" w:eastAsia="方正仿宋_GBK" w:cs="Times New Roman"/>
          <w:b w:val="0"/>
          <w:bCs w:val="0"/>
          <w:color w:val="auto"/>
          <w:sz w:val="32"/>
          <w:szCs w:val="32"/>
          <w:highlight w:val="none"/>
          <w:lang w:val="en-US" w:eastAsia="zh-CN"/>
        </w:rPr>
        <w:t>时期</w:t>
      </w:r>
      <w:r>
        <w:rPr>
          <w:rFonts w:hint="eastAsia" w:ascii="Times New Roman" w:hAnsi="Times New Roman" w:eastAsia="方正仿宋_GBK" w:cs="Times New Roman"/>
          <w:b w:val="0"/>
          <w:bCs w:val="0"/>
          <w:color w:val="auto"/>
          <w:sz w:val="32"/>
          <w:szCs w:val="32"/>
          <w:highlight w:val="none"/>
        </w:rPr>
        <w:t>只能</w:t>
      </w:r>
      <w:r>
        <w:rPr>
          <w:rFonts w:hint="eastAsia" w:ascii="Times New Roman" w:hAnsi="Times New Roman" w:eastAsia="方正仿宋_GBK" w:cs="Times New Roman"/>
          <w:b w:val="0"/>
          <w:bCs w:val="0"/>
          <w:color w:val="auto"/>
          <w:sz w:val="32"/>
          <w:szCs w:val="32"/>
          <w:highlight w:val="none"/>
          <w:lang w:val="en-US" w:eastAsia="zh-CN"/>
        </w:rPr>
        <w:t>与</w:t>
      </w:r>
      <w:r>
        <w:rPr>
          <w:rFonts w:hint="eastAsia" w:ascii="Times New Roman" w:hAnsi="Times New Roman" w:eastAsia="方正仿宋_GBK" w:cs="Times New Roman"/>
          <w:b w:val="0"/>
          <w:bCs w:val="0"/>
          <w:color w:val="auto"/>
          <w:sz w:val="32"/>
          <w:szCs w:val="32"/>
          <w:highlight w:val="none"/>
        </w:rPr>
        <w:t>一家</w:t>
      </w:r>
      <w:r>
        <w:rPr>
          <w:rFonts w:hint="eastAsia" w:ascii="Times New Roman" w:hAnsi="Times New Roman" w:eastAsia="方正仿宋_GBK" w:cs="Times New Roman"/>
          <w:b w:val="0"/>
          <w:bCs w:val="0"/>
          <w:color w:val="auto"/>
          <w:sz w:val="32"/>
          <w:szCs w:val="32"/>
          <w:highlight w:val="none"/>
          <w:lang w:val="en-US" w:eastAsia="zh-CN"/>
        </w:rPr>
        <w:t>虚拟电厂或负荷聚合商</w:t>
      </w:r>
      <w:r>
        <w:rPr>
          <w:rFonts w:hint="eastAsia" w:ascii="Times New Roman" w:hAnsi="Times New Roman" w:eastAsia="方正仿宋_GBK" w:cs="Times New Roman"/>
          <w:b w:val="0"/>
          <w:bCs w:val="0"/>
          <w:color w:val="auto"/>
          <w:sz w:val="32"/>
          <w:szCs w:val="32"/>
          <w:highlight w:val="none"/>
        </w:rPr>
        <w:t>签订</w:t>
      </w:r>
      <w:r>
        <w:rPr>
          <w:rFonts w:hint="eastAsia" w:ascii="Times New Roman" w:hAnsi="Times New Roman" w:eastAsia="方正仿宋_GBK" w:cs="Times New Roman"/>
          <w:b w:val="0"/>
          <w:bCs w:val="0"/>
          <w:color w:val="auto"/>
          <w:sz w:val="32"/>
          <w:szCs w:val="32"/>
          <w:highlight w:val="none"/>
          <w:lang w:val="en-US" w:eastAsia="zh-CN"/>
        </w:rPr>
        <w:t>聚合服务合同</w:t>
      </w:r>
      <w:r>
        <w:rPr>
          <w:rFonts w:hint="eastAsia" w:ascii="Times New Roman" w:hAnsi="Times New Roman" w:eastAsia="方正仿宋_GBK" w:cs="Times New Roman"/>
          <w:b w:val="0"/>
          <w:bCs w:val="0"/>
          <w:color w:val="auto"/>
          <w:sz w:val="32"/>
          <w:szCs w:val="32"/>
          <w:highlight w:val="none"/>
        </w:rPr>
        <w:t>。</w:t>
      </w:r>
    </w:p>
    <w:p w14:paraId="02D1720F">
      <w:pPr>
        <w:numPr>
          <w:ilvl w:val="0"/>
          <w:numId w:val="4"/>
        </w:numPr>
        <w:adjustRightInd w:val="0"/>
        <w:snapToGrid w:val="0"/>
        <w:spacing w:line="588" w:lineRule="exact"/>
        <w:ind w:left="-13" w:firstLine="643"/>
        <w:rPr>
          <w:rFonts w:ascii="Times New Roman" w:hAnsi="Times New Roman" w:cs="Times New Roman"/>
          <w:b w:val="0"/>
          <w:bCs w:val="0"/>
          <w:color w:val="auto"/>
        </w:rPr>
      </w:pPr>
      <w:r>
        <w:rPr>
          <w:rFonts w:hint="eastAsia" w:ascii="Times New Roman" w:hAnsi="Times New Roman" w:eastAsia="方正仿宋_GBK" w:cs="Times New Roman"/>
          <w:b w:val="0"/>
          <w:bCs w:val="0"/>
          <w:color w:val="auto"/>
          <w:sz w:val="32"/>
          <w:szCs w:val="32"/>
          <w:highlight w:val="none"/>
          <w:lang w:val="en-US" w:eastAsia="zh-CN"/>
        </w:rPr>
        <w:t>虚拟电厂、负荷聚合商所聚合的资源同时具有</w:t>
      </w:r>
      <w:r>
        <w:rPr>
          <w:rFonts w:hint="eastAsia" w:ascii="Times New Roman" w:hAnsi="Times New Roman" w:eastAsia="方正仿宋_GBK" w:cs="Times New Roman"/>
          <w:b w:val="0"/>
          <w:bCs w:val="0"/>
          <w:color w:val="auto"/>
          <w:sz w:val="32"/>
          <w:szCs w:val="32"/>
          <w:highlight w:val="none"/>
        </w:rPr>
        <w:t>上网电量、下网用电量时，应区分各时段的上下网电量，不得将下网用电量与其他项目上网电量聚合抵消后结算。</w:t>
      </w:r>
    </w:p>
    <w:p w14:paraId="78B83CD1">
      <w:pPr>
        <w:numPr>
          <w:ilvl w:val="0"/>
          <w:numId w:val="4"/>
        </w:numPr>
        <w:adjustRightInd w:val="0"/>
        <w:snapToGrid w:val="0"/>
        <w:spacing w:line="588" w:lineRule="exact"/>
        <w:ind w:left="-13" w:firstLine="643"/>
        <w:rPr>
          <w:rFonts w:hint="eastAsia"/>
          <w:color w:val="auto"/>
        </w:rPr>
      </w:pPr>
      <w:r>
        <w:rPr>
          <w:rFonts w:hint="eastAsia" w:ascii="Times New Roman" w:hAnsi="Times New Roman" w:eastAsia="方正仿宋_GBK" w:cs="Times New Roman"/>
          <w:b w:val="0"/>
          <w:bCs w:val="0"/>
          <w:color w:val="auto"/>
          <w:kern w:val="0"/>
          <w:sz w:val="32"/>
          <w:szCs w:val="32"/>
          <w:highlight w:val="none"/>
        </w:rPr>
        <w:t>建立并完善与</w:t>
      </w:r>
      <w:r>
        <w:rPr>
          <w:rFonts w:hint="eastAsia" w:ascii="Times New Roman" w:hAnsi="Times New Roman" w:eastAsia="方正仿宋_GBK" w:cs="Times New Roman"/>
          <w:b w:val="0"/>
          <w:bCs w:val="0"/>
          <w:color w:val="auto"/>
          <w:kern w:val="0"/>
          <w:sz w:val="32"/>
          <w:szCs w:val="32"/>
          <w:highlight w:val="none"/>
          <w:lang w:val="en-US" w:eastAsia="zh-CN"/>
        </w:rPr>
        <w:t>现有</w:t>
      </w:r>
      <w:r>
        <w:rPr>
          <w:rFonts w:hint="eastAsia" w:ascii="Times New Roman" w:hAnsi="Times New Roman" w:eastAsia="方正仿宋_GBK" w:cs="Times New Roman"/>
          <w:b w:val="0"/>
          <w:bCs w:val="0"/>
          <w:color w:val="auto"/>
          <w:kern w:val="0"/>
          <w:sz w:val="32"/>
          <w:szCs w:val="32"/>
          <w:highlight w:val="none"/>
        </w:rPr>
        <w:t>电力市场</w:t>
      </w:r>
      <w:r>
        <w:rPr>
          <w:rFonts w:hint="eastAsia" w:ascii="Times New Roman" w:hAnsi="Times New Roman" w:eastAsia="方正仿宋_GBK" w:cs="Times New Roman"/>
          <w:b w:val="0"/>
          <w:bCs w:val="0"/>
          <w:color w:val="auto"/>
          <w:kern w:val="0"/>
          <w:sz w:val="32"/>
          <w:szCs w:val="32"/>
          <w:highlight w:val="none"/>
          <w:lang w:val="en-US" w:eastAsia="zh-CN"/>
        </w:rPr>
        <w:t>价格体系</w:t>
      </w:r>
      <w:r>
        <w:rPr>
          <w:rFonts w:hint="eastAsia" w:ascii="Times New Roman" w:hAnsi="Times New Roman" w:eastAsia="方正仿宋_GBK" w:cs="Times New Roman"/>
          <w:b w:val="0"/>
          <w:bCs w:val="0"/>
          <w:color w:val="auto"/>
          <w:kern w:val="0"/>
          <w:sz w:val="32"/>
          <w:szCs w:val="32"/>
          <w:highlight w:val="none"/>
        </w:rPr>
        <w:t>衔接的</w:t>
      </w:r>
      <w:r>
        <w:rPr>
          <w:rFonts w:hint="eastAsia" w:ascii="Times New Roman" w:hAnsi="Times New Roman" w:eastAsia="方正仿宋_GBK" w:cs="Times New Roman"/>
          <w:b w:val="0"/>
          <w:bCs w:val="0"/>
          <w:color w:val="auto"/>
          <w:spacing w:val="-3"/>
          <w:kern w:val="0"/>
          <w:sz w:val="32"/>
          <w:szCs w:val="32"/>
          <w:highlight w:val="none"/>
        </w:rPr>
        <w:t>市场化需求响应</w:t>
      </w:r>
      <w:r>
        <w:rPr>
          <w:rFonts w:hint="eastAsia" w:ascii="Times New Roman" w:hAnsi="Times New Roman" w:eastAsia="方正仿宋_GBK" w:cs="Times New Roman"/>
          <w:b w:val="0"/>
          <w:bCs w:val="0"/>
          <w:color w:val="auto"/>
          <w:kern w:val="0"/>
          <w:sz w:val="32"/>
          <w:szCs w:val="32"/>
          <w:highlight w:val="none"/>
        </w:rPr>
        <w:t>价格机制</w:t>
      </w:r>
      <w:r>
        <w:rPr>
          <w:rFonts w:hint="eastAsia" w:ascii="Times New Roman" w:hAnsi="Times New Roman" w:eastAsia="方正仿宋_GBK" w:cs="Times New Roman"/>
          <w:b w:val="0"/>
          <w:bCs w:val="0"/>
          <w:color w:val="auto"/>
          <w:kern w:val="0"/>
          <w:sz w:val="32"/>
          <w:szCs w:val="32"/>
          <w:highlight w:val="none"/>
          <w:lang w:eastAsia="zh-CN"/>
        </w:rPr>
        <w:t>，</w:t>
      </w:r>
      <w:r>
        <w:rPr>
          <w:rFonts w:hint="eastAsia" w:ascii="Times New Roman" w:hAnsi="Times New Roman" w:eastAsia="方正仿宋_GBK" w:cs="Times New Roman"/>
          <w:b w:val="0"/>
          <w:bCs w:val="0"/>
          <w:color w:val="auto"/>
          <w:spacing w:val="-7"/>
          <w:kern w:val="0"/>
          <w:sz w:val="32"/>
          <w:szCs w:val="32"/>
          <w:highlight w:val="none"/>
        </w:rPr>
        <w:t>激励</w:t>
      </w:r>
      <w:r>
        <w:rPr>
          <w:rFonts w:hint="eastAsia" w:ascii="Times New Roman" w:hAnsi="Times New Roman" w:eastAsia="方正仿宋_GBK" w:cs="Times New Roman"/>
          <w:b w:val="0"/>
          <w:bCs w:val="0"/>
          <w:color w:val="auto"/>
          <w:sz w:val="32"/>
          <w:szCs w:val="32"/>
          <w:highlight w:val="none"/>
          <w:lang w:val="en-US" w:eastAsia="zh-CN"/>
        </w:rPr>
        <w:t>虚拟电厂、负荷聚合商</w:t>
      </w:r>
      <w:r>
        <w:rPr>
          <w:rFonts w:hint="eastAsia" w:ascii="Times New Roman" w:hAnsi="Times New Roman" w:eastAsia="方正仿宋_GBK" w:cs="Times New Roman"/>
          <w:b w:val="0"/>
          <w:bCs w:val="0"/>
          <w:color w:val="auto"/>
          <w:spacing w:val="-7"/>
          <w:kern w:val="0"/>
          <w:sz w:val="32"/>
          <w:szCs w:val="32"/>
          <w:highlight w:val="none"/>
        </w:rPr>
        <w:t>主动参与市场化需求响应。</w:t>
      </w:r>
    </w:p>
    <w:p w14:paraId="13BAAA62">
      <w:pPr>
        <w:pStyle w:val="3"/>
        <w:numPr>
          <w:ilvl w:val="0"/>
          <w:numId w:val="6"/>
        </w:numPr>
        <w:adjustRightInd w:val="0"/>
        <w:snapToGrid w:val="0"/>
        <w:spacing w:line="588" w:lineRule="exact"/>
        <w:jc w:val="center"/>
        <w:rPr>
          <w:rFonts w:hint="eastAsia" w:ascii="Times New Roman" w:hAnsi="Times New Roman" w:eastAsia="黑体" w:cs="Times New Roman"/>
          <w:b w:val="0"/>
          <w:bCs w:val="0"/>
          <w:color w:val="auto"/>
          <w:sz w:val="32"/>
          <w:szCs w:val="32"/>
          <w:highlight w:val="none"/>
          <w:lang w:val="en-US" w:eastAsia="zh-CN"/>
        </w:rPr>
      </w:pPr>
      <w:bookmarkStart w:id="74" w:name="_Toc600961497"/>
      <w:bookmarkStart w:id="75" w:name="_Toc26200"/>
      <w:bookmarkStart w:id="76" w:name="_Toc16582"/>
      <w:bookmarkStart w:id="77" w:name="_Toc1858958009"/>
      <w:bookmarkStart w:id="78" w:name="_Toc1740331664"/>
      <w:r>
        <w:rPr>
          <w:rFonts w:hint="eastAsia" w:ascii="Times New Roman" w:hAnsi="Times New Roman" w:eastAsia="黑体" w:cs="Times New Roman"/>
          <w:b w:val="0"/>
          <w:bCs w:val="0"/>
          <w:color w:val="auto"/>
          <w:sz w:val="32"/>
          <w:szCs w:val="32"/>
          <w:highlight w:val="none"/>
          <w:lang w:val="en-US" w:eastAsia="zh-CN"/>
        </w:rPr>
        <w:t>交易品种和</w:t>
      </w:r>
      <w:bookmarkEnd w:id="74"/>
      <w:bookmarkEnd w:id="75"/>
      <w:bookmarkEnd w:id="76"/>
      <w:r>
        <w:rPr>
          <w:rFonts w:hint="eastAsia" w:ascii="Times New Roman" w:hAnsi="Times New Roman" w:eastAsia="黑体" w:cs="Times New Roman"/>
          <w:b w:val="0"/>
          <w:bCs w:val="0"/>
          <w:color w:val="auto"/>
          <w:sz w:val="32"/>
          <w:szCs w:val="32"/>
          <w:highlight w:val="none"/>
          <w:lang w:val="en-US" w:eastAsia="zh-CN"/>
        </w:rPr>
        <w:t>价格机制</w:t>
      </w:r>
      <w:bookmarkEnd w:id="77"/>
      <w:bookmarkEnd w:id="78"/>
    </w:p>
    <w:p w14:paraId="07981580">
      <w:pPr>
        <w:pStyle w:val="2"/>
        <w:widowControl/>
        <w:adjustRightInd w:val="0"/>
        <w:snapToGrid w:val="0"/>
        <w:spacing w:line="588" w:lineRule="exact"/>
        <w:jc w:val="center"/>
        <w:rPr>
          <w:rFonts w:hint="eastAsia" w:ascii="Times New Roman" w:hAnsi="Times New Roman" w:eastAsia="方正楷体_GBK" w:cs="Times New Roman"/>
          <w:b w:val="0"/>
          <w:color w:val="auto"/>
          <w:szCs w:val="32"/>
          <w:highlight w:val="none"/>
          <w:lang w:val="en-US" w:eastAsia="zh"/>
        </w:rPr>
      </w:pPr>
      <w:bookmarkStart w:id="79" w:name="_Toc47187550"/>
      <w:bookmarkStart w:id="80" w:name="_Toc266699218"/>
      <w:r>
        <w:rPr>
          <w:rFonts w:hint="eastAsia" w:ascii="Times New Roman" w:hAnsi="Times New Roman" w:eastAsia="方正楷体_GBK" w:cs="Times New Roman"/>
          <w:b w:val="0"/>
          <w:bCs w:val="0"/>
          <w:color w:val="auto"/>
          <w:sz w:val="32"/>
          <w:szCs w:val="32"/>
          <w:highlight w:val="none"/>
          <w:lang w:val="en-US" w:eastAsia="zh"/>
        </w:rPr>
        <w:t>第</w:t>
      </w:r>
      <w:r>
        <w:rPr>
          <w:rFonts w:hint="eastAsia" w:ascii="Times New Roman" w:hAnsi="Times New Roman" w:eastAsia="方正楷体_GBK" w:cs="Times New Roman"/>
          <w:b w:val="0"/>
          <w:bCs w:val="0"/>
          <w:color w:val="auto"/>
          <w:sz w:val="32"/>
          <w:szCs w:val="32"/>
          <w:highlight w:val="none"/>
          <w:lang w:val="en-US" w:eastAsia="zh-CN"/>
        </w:rPr>
        <w:t>一节</w:t>
      </w:r>
      <w:r>
        <w:rPr>
          <w:rFonts w:hint="eastAsia" w:ascii="Times New Roman" w:hAnsi="Times New Roman" w:eastAsia="方正楷体_GBK" w:cs="Times New Roman"/>
          <w:b w:val="0"/>
          <w:bCs w:val="0"/>
          <w:color w:val="auto"/>
          <w:sz w:val="32"/>
          <w:szCs w:val="32"/>
          <w:highlight w:val="none"/>
          <w:lang w:eastAsia="zh"/>
        </w:rPr>
        <w:t xml:space="preserve"> </w:t>
      </w:r>
      <w:r>
        <w:rPr>
          <w:rFonts w:hint="eastAsia" w:ascii="Times New Roman" w:hAnsi="Times New Roman" w:eastAsia="方正楷体_GBK" w:cs="Times New Roman"/>
          <w:b w:val="0"/>
          <w:bCs w:val="0"/>
          <w:color w:val="auto"/>
          <w:sz w:val="32"/>
          <w:szCs w:val="32"/>
          <w:highlight w:val="none"/>
          <w:lang w:val="en-US" w:eastAsia="zh"/>
        </w:rPr>
        <w:t>交易品种</w:t>
      </w:r>
      <w:bookmarkEnd w:id="79"/>
      <w:bookmarkEnd w:id="80"/>
    </w:p>
    <w:p w14:paraId="60937581">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lang w:eastAsia="zh"/>
        </w:rPr>
      </w:pPr>
      <w:r>
        <w:rPr>
          <w:rFonts w:hint="eastAsia" w:ascii="Times New Roman" w:hAnsi="Times New Roman" w:eastAsia="方正仿宋_GBK" w:cs="Times New Roman"/>
          <w:b w:val="0"/>
          <w:bCs w:val="0"/>
          <w:color w:val="auto"/>
          <w:sz w:val="32"/>
          <w:szCs w:val="32"/>
          <w:highlight w:val="none"/>
        </w:rPr>
        <w:t>根据交易标的物执行周期不同，</w:t>
      </w:r>
      <w:r>
        <w:rPr>
          <w:rFonts w:hint="eastAsia" w:ascii="Times New Roman" w:hAnsi="Times New Roman" w:eastAsia="方正仿宋_GBK" w:cs="Times New Roman"/>
          <w:b w:val="0"/>
          <w:bCs w:val="0"/>
          <w:color w:val="auto"/>
          <w:sz w:val="32"/>
          <w:szCs w:val="32"/>
          <w:highlight w:val="none"/>
          <w:lang w:val="en-US" w:eastAsia="zh-CN"/>
        </w:rPr>
        <w:t>电力中长期交易</w:t>
      </w:r>
      <w:r>
        <w:rPr>
          <w:rFonts w:hint="eastAsia" w:ascii="Times New Roman" w:hAnsi="Times New Roman" w:eastAsia="方正仿宋_GBK" w:cs="Times New Roman"/>
          <w:b w:val="0"/>
          <w:bCs w:val="0"/>
          <w:color w:val="auto"/>
          <w:sz w:val="32"/>
          <w:szCs w:val="32"/>
          <w:highlight w:val="none"/>
        </w:rPr>
        <w:t>包括</w:t>
      </w:r>
      <w:r>
        <w:rPr>
          <w:rFonts w:hint="eastAsia" w:ascii="Times New Roman" w:hAnsi="Times New Roman" w:eastAsia="方正仿宋_GBK" w:cs="Times New Roman"/>
          <w:b w:val="0"/>
          <w:bCs w:val="0"/>
          <w:color w:val="auto"/>
          <w:kern w:val="0"/>
          <w:sz w:val="32"/>
          <w:szCs w:val="32"/>
          <w:highlight w:val="none"/>
          <w:lang w:val="en-US" w:eastAsia="zh-CN" w:bidi="ar"/>
        </w:rPr>
        <w:t>数</w:t>
      </w:r>
      <w:r>
        <w:rPr>
          <w:rFonts w:hint="eastAsia" w:ascii="Times New Roman" w:hAnsi="Times New Roman" w:eastAsia="方正仿宋_GBK" w:cs="Times New Roman"/>
          <w:b w:val="0"/>
          <w:bCs w:val="0"/>
          <w:color w:val="auto"/>
          <w:sz w:val="32"/>
          <w:szCs w:val="32"/>
          <w:highlight w:val="none"/>
        </w:rPr>
        <w:t>年</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年度、月度、月内</w:t>
      </w:r>
      <w:r>
        <w:rPr>
          <w:rFonts w:hint="eastAsia" w:ascii="Times New Roman" w:hAnsi="Times New Roman" w:eastAsia="方正仿宋_GBK" w:cs="Times New Roman"/>
          <w:b w:val="0"/>
          <w:bCs w:val="0"/>
          <w:color w:val="auto"/>
          <w:sz w:val="32"/>
          <w:szCs w:val="32"/>
          <w:highlight w:val="none"/>
        </w:rPr>
        <w:t>等不同交割周期的</w:t>
      </w:r>
      <w:r>
        <w:rPr>
          <w:rFonts w:hint="eastAsia" w:ascii="Times New Roman" w:hAnsi="Times New Roman" w:eastAsia="方正仿宋_GBK" w:cs="Times New Roman"/>
          <w:b w:val="0"/>
          <w:bCs w:val="0"/>
          <w:color w:val="auto"/>
          <w:sz w:val="32"/>
          <w:szCs w:val="32"/>
          <w:highlight w:val="none"/>
          <w:lang w:val="en-US" w:eastAsia="zh-CN"/>
        </w:rPr>
        <w:t>电能量</w:t>
      </w:r>
      <w:r>
        <w:rPr>
          <w:rFonts w:hint="eastAsia" w:ascii="Times New Roman" w:hAnsi="Times New Roman" w:eastAsia="方正仿宋_GBK" w:cs="Times New Roman"/>
          <w:b w:val="0"/>
          <w:bCs w:val="0"/>
          <w:color w:val="auto"/>
          <w:sz w:val="32"/>
          <w:szCs w:val="32"/>
          <w:highlight w:val="none"/>
        </w:rPr>
        <w:t>交易</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数年、年度、月度</w:t>
      </w:r>
      <w:r>
        <w:rPr>
          <w:rFonts w:hint="eastAsia" w:ascii="Times New Roman" w:hAnsi="Times New Roman" w:eastAsia="方正仿宋_GBK" w:cs="Times New Roman"/>
          <w:b w:val="0"/>
          <w:bCs w:val="0"/>
          <w:color w:val="auto"/>
          <w:sz w:val="32"/>
          <w:szCs w:val="32"/>
          <w:highlight w:val="none"/>
          <w:lang w:val="en-US" w:eastAsia="zh-CN"/>
        </w:rPr>
        <w:t>电能量交易应</w:t>
      </w:r>
      <w:r>
        <w:rPr>
          <w:rFonts w:hint="eastAsia" w:ascii="Times New Roman" w:hAnsi="Times New Roman" w:eastAsia="方正仿宋_GBK" w:cs="Times New Roman"/>
          <w:b w:val="0"/>
          <w:bCs w:val="0"/>
          <w:color w:val="auto"/>
          <w:sz w:val="32"/>
          <w:szCs w:val="32"/>
          <w:highlight w:val="none"/>
        </w:rPr>
        <w:t>定期开市，</w:t>
      </w:r>
      <w:r>
        <w:rPr>
          <w:rFonts w:hint="eastAsia" w:ascii="Times New Roman" w:hAnsi="Times New Roman" w:eastAsia="方正仿宋_GBK" w:cs="Times New Roman"/>
          <w:b w:val="0"/>
          <w:bCs w:val="0"/>
          <w:color w:val="auto"/>
          <w:sz w:val="32"/>
          <w:szCs w:val="32"/>
          <w:highlight w:val="none"/>
          <w:lang w:val="en-US" w:eastAsia="zh-CN"/>
        </w:rPr>
        <w:t>可探索连续开市；</w:t>
      </w:r>
      <w:r>
        <w:rPr>
          <w:rFonts w:hint="eastAsia" w:ascii="Times New Roman" w:hAnsi="Times New Roman" w:eastAsia="方正仿宋_GBK" w:cs="Times New Roman"/>
          <w:b w:val="0"/>
          <w:bCs w:val="0"/>
          <w:color w:val="auto"/>
          <w:sz w:val="32"/>
          <w:szCs w:val="32"/>
          <w:highlight w:val="none"/>
        </w:rPr>
        <w:t>月内</w:t>
      </w:r>
      <w:r>
        <w:rPr>
          <w:rFonts w:hint="eastAsia" w:ascii="Times New Roman" w:hAnsi="Times New Roman" w:eastAsia="方正仿宋_GBK" w:cs="Times New Roman"/>
          <w:b w:val="0"/>
          <w:bCs w:val="0"/>
          <w:color w:val="auto"/>
          <w:sz w:val="32"/>
          <w:szCs w:val="32"/>
          <w:highlight w:val="none"/>
          <w:lang w:val="en-US" w:eastAsia="zh-CN"/>
        </w:rPr>
        <w:t>电能量交易</w:t>
      </w:r>
      <w:r>
        <w:rPr>
          <w:rFonts w:hint="eastAsia" w:ascii="Times New Roman" w:hAnsi="Times New Roman" w:eastAsia="方正仿宋_GBK" w:cs="Times New Roman"/>
          <w:b w:val="0"/>
          <w:bCs w:val="0"/>
          <w:color w:val="auto"/>
          <w:sz w:val="32"/>
          <w:szCs w:val="32"/>
          <w:highlight w:val="none"/>
        </w:rPr>
        <w:t>根据交易标的物不同，可采用定期开市和按日连续开市两种形式开展。</w:t>
      </w:r>
    </w:p>
    <w:p w14:paraId="7C6C797B">
      <w:pPr>
        <w:pageBreakBefore w:val="0"/>
        <w:widowControl/>
        <w:numPr>
          <w:ilvl w:val="-1"/>
          <w:numId w:val="0"/>
        </w:numPr>
        <w:kinsoku/>
        <w:wordWrap/>
        <w:overflowPunct/>
        <w:topLinePunct w:val="0"/>
        <w:autoSpaceDE/>
        <w:autoSpaceDN/>
        <w:bidi w:val="0"/>
        <w:adjustRightInd w:val="0"/>
        <w:snapToGrid w:val="0"/>
        <w:spacing w:line="588" w:lineRule="exact"/>
        <w:ind w:firstLine="42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b w:val="0"/>
          <w:bCs w:val="0"/>
          <w:color w:val="auto"/>
          <w:lang w:val="en-US" w:eastAsia="zh-CN"/>
        </w:rPr>
        <w:t xml:space="preserve">  </w:t>
      </w:r>
      <w:r>
        <w:rPr>
          <w:rFonts w:hint="eastAsia" w:ascii="Times New Roman" w:hAnsi="Times New Roman" w:eastAsia="方正仿宋_GBK" w:cs="Times New Roman"/>
          <w:b w:val="0"/>
          <w:bCs w:val="0"/>
          <w:color w:val="auto"/>
          <w:kern w:val="0"/>
          <w:sz w:val="32"/>
          <w:szCs w:val="32"/>
          <w:highlight w:val="none"/>
          <w:lang w:val="en-US" w:eastAsia="zh-CN" w:bidi="ar"/>
        </w:rPr>
        <w:t>数年电能量交易原则上</w:t>
      </w:r>
      <w:r>
        <w:rPr>
          <w:rFonts w:hint="default" w:ascii="Times New Roman" w:hAnsi="Times New Roman" w:eastAsia="方正仿宋_GBK" w:cs="Times New Roman"/>
          <w:b w:val="0"/>
          <w:bCs w:val="0"/>
          <w:color w:val="auto"/>
          <w:kern w:val="0"/>
          <w:sz w:val="32"/>
          <w:szCs w:val="32"/>
          <w:highlight w:val="none"/>
          <w:lang w:val="en-US" w:eastAsia="zh" w:bidi="ar"/>
        </w:rPr>
        <w:t>以</w:t>
      </w:r>
      <w:r>
        <w:rPr>
          <w:rFonts w:hint="eastAsia" w:ascii="Times New Roman" w:hAnsi="Times New Roman" w:eastAsia="方正仿宋_GBK" w:cs="Times New Roman"/>
          <w:b w:val="0"/>
          <w:bCs w:val="0"/>
          <w:color w:val="auto"/>
          <w:kern w:val="0"/>
          <w:sz w:val="32"/>
          <w:szCs w:val="32"/>
          <w:highlight w:val="none"/>
          <w:lang w:val="en-US" w:eastAsia="zh-CN" w:bidi="ar"/>
        </w:rPr>
        <w:t>1年以上</w:t>
      </w:r>
      <w:r>
        <w:rPr>
          <w:rFonts w:hint="eastAsia" w:ascii="Times New Roman" w:hAnsi="Times New Roman" w:eastAsia="方正仿宋_GBK" w:cs="Times New Roman"/>
          <w:b w:val="0"/>
          <w:bCs w:val="0"/>
          <w:color w:val="auto"/>
          <w:kern w:val="0"/>
          <w:sz w:val="32"/>
          <w:szCs w:val="32"/>
          <w:highlight w:val="none"/>
          <w:lang w:val="en-US" w:eastAsia="zh" w:bidi="ar"/>
        </w:rPr>
        <w:t>的电量作为交易标的物，</w:t>
      </w:r>
      <w:r>
        <w:rPr>
          <w:rFonts w:hint="eastAsia" w:ascii="Times New Roman" w:hAnsi="Times New Roman" w:eastAsia="方正仿宋_GBK" w:cs="Times New Roman"/>
          <w:b w:val="0"/>
          <w:bCs w:val="0"/>
          <w:color w:val="auto"/>
          <w:kern w:val="0"/>
          <w:sz w:val="32"/>
          <w:szCs w:val="32"/>
          <w:highlight w:val="none"/>
          <w:lang w:val="en-US" w:eastAsia="zh-CN" w:bidi="ar"/>
        </w:rPr>
        <w:t>交易结果须</w:t>
      </w:r>
      <w:r>
        <w:rPr>
          <w:rFonts w:hint="eastAsia" w:ascii="Times New Roman" w:hAnsi="Times New Roman" w:eastAsia="方正仿宋_GBK" w:cs="Times New Roman"/>
          <w:b w:val="0"/>
          <w:bCs w:val="0"/>
          <w:color w:val="auto"/>
          <w:kern w:val="0"/>
          <w:sz w:val="32"/>
          <w:szCs w:val="32"/>
          <w:highlight w:val="none"/>
          <w:lang w:val="en-US" w:eastAsia="zh" w:bidi="ar"/>
        </w:rPr>
        <w:t>分解到年度以及</w:t>
      </w:r>
      <w:r>
        <w:rPr>
          <w:rFonts w:hint="eastAsia" w:ascii="Times New Roman" w:hAnsi="Times New Roman" w:eastAsia="方正仿宋_GBK" w:cs="Times New Roman"/>
          <w:b w:val="0"/>
          <w:bCs w:val="0"/>
          <w:color w:val="auto"/>
          <w:kern w:val="0"/>
          <w:sz w:val="32"/>
          <w:szCs w:val="32"/>
          <w:highlight w:val="none"/>
          <w:lang w:val="en-US" w:eastAsia="zh-CN" w:bidi="ar"/>
        </w:rPr>
        <w:t>各月；</w:t>
      </w:r>
    </w:p>
    <w:p w14:paraId="36B5CBCC">
      <w:pPr>
        <w:pageBreakBefore w:val="0"/>
        <w:widowControl/>
        <w:numPr>
          <w:ilvl w:val="-1"/>
          <w:numId w:val="0"/>
        </w:numPr>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kern w:val="0"/>
          <w:sz w:val="32"/>
          <w:szCs w:val="32"/>
          <w:highlight w:val="none"/>
          <w:lang w:val="en-US" w:eastAsia="zh-CN" w:bidi="ar"/>
        </w:rPr>
        <w:t>年度电能量交易原则上以次年年度内的电量作为交易标的物，交易结果须分解到</w:t>
      </w:r>
      <w:r>
        <w:rPr>
          <w:rFonts w:hint="eastAsia" w:ascii="Times New Roman" w:hAnsi="Times New Roman" w:eastAsia="方正仿宋_GBK" w:cs="Times New Roman"/>
          <w:b w:val="0"/>
          <w:bCs w:val="0"/>
          <w:color w:val="auto"/>
          <w:kern w:val="0"/>
          <w:sz w:val="32"/>
          <w:szCs w:val="32"/>
          <w:highlight w:val="none"/>
          <w:lang w:val="en-US" w:eastAsia="zh" w:bidi="ar"/>
        </w:rPr>
        <w:t>年内</w:t>
      </w:r>
      <w:r>
        <w:rPr>
          <w:rFonts w:hint="eastAsia" w:ascii="Times New Roman" w:hAnsi="Times New Roman" w:eastAsia="方正仿宋_GBK" w:cs="Times New Roman"/>
          <w:b w:val="0"/>
          <w:bCs w:val="0"/>
          <w:color w:val="auto"/>
          <w:kern w:val="0"/>
          <w:sz w:val="32"/>
          <w:szCs w:val="32"/>
          <w:highlight w:val="none"/>
          <w:lang w:val="en-US" w:eastAsia="zh-CN" w:bidi="ar"/>
        </w:rPr>
        <w:t>各月；</w:t>
      </w:r>
    </w:p>
    <w:p w14:paraId="79746A7F">
      <w:pPr>
        <w:pageBreakBefore w:val="0"/>
        <w:widowControl/>
        <w:numPr>
          <w:ilvl w:val="-1"/>
          <w:numId w:val="0"/>
        </w:numPr>
        <w:kinsoku/>
        <w:wordWrap/>
        <w:overflowPunct/>
        <w:topLinePunct w:val="0"/>
        <w:autoSpaceDE/>
        <w:autoSpaceDN/>
        <w:bidi w:val="0"/>
        <w:adjustRightInd w:val="0"/>
        <w:snapToGrid w:val="0"/>
        <w:spacing w:line="588" w:lineRule="exact"/>
        <w:ind w:firstLine="640" w:firstLineChars="200"/>
        <w:jc w:val="both"/>
        <w:textAlignment w:val="auto"/>
        <w:rPr>
          <w:rFonts w:hint="eastAsia" w:ascii="Times New Roman" w:hAnsi="Times New Roman" w:eastAsia="方正仿宋_GBK" w:cs="Times New Roman"/>
          <w:b w:val="0"/>
          <w:bCs w:val="0"/>
          <w:color w:val="auto"/>
          <w:kern w:val="0"/>
          <w:sz w:val="32"/>
          <w:szCs w:val="32"/>
          <w:highlight w:val="none"/>
          <w:lang w:val="en-US" w:eastAsia="zh-CN" w:bidi="ar"/>
        </w:rPr>
      </w:pPr>
      <w:r>
        <w:rPr>
          <w:rFonts w:hint="eastAsia" w:ascii="Times New Roman" w:hAnsi="Times New Roman" w:eastAsia="方正仿宋_GBK" w:cs="Times New Roman"/>
          <w:b w:val="0"/>
          <w:bCs w:val="0"/>
          <w:color w:val="auto"/>
          <w:kern w:val="0"/>
          <w:sz w:val="32"/>
          <w:szCs w:val="32"/>
          <w:highlight w:val="none"/>
          <w:lang w:val="en-US" w:eastAsia="zh-CN" w:bidi="ar"/>
        </w:rPr>
        <w:t>月度电能量交易原则上以次月、次月至当年年底内（含特定月份）的电量作为交易标的物；</w:t>
      </w:r>
    </w:p>
    <w:p w14:paraId="030B9676">
      <w:pPr>
        <w:widowControl/>
        <w:numPr>
          <w:ilvl w:val="0"/>
          <w:numId w:val="0"/>
        </w:numPr>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0"/>
          <w:sz w:val="32"/>
          <w:szCs w:val="32"/>
          <w:highlight w:val="none"/>
          <w:lang w:val="en-US" w:eastAsia="zh" w:bidi="ar"/>
        </w:rPr>
      </w:pPr>
      <w:r>
        <w:rPr>
          <w:rFonts w:hint="eastAsia" w:ascii="Times New Roman" w:hAnsi="Times New Roman" w:eastAsia="方正仿宋_GBK" w:cs="Times New Roman"/>
          <w:b w:val="0"/>
          <w:bCs w:val="0"/>
          <w:color w:val="auto"/>
          <w:kern w:val="0"/>
          <w:sz w:val="32"/>
          <w:szCs w:val="32"/>
          <w:highlight w:val="none"/>
          <w:lang w:val="en-US" w:eastAsia="zh-CN" w:bidi="ar"/>
        </w:rPr>
        <w:t>月内电能量交易原则上以月内剩余天数的电量或者特定天数的电量作为交易标的物</w:t>
      </w:r>
      <w:r>
        <w:rPr>
          <w:rFonts w:hint="eastAsia" w:ascii="Times New Roman" w:hAnsi="Times New Roman" w:eastAsia="方正仿宋_GBK" w:cs="Times New Roman"/>
          <w:b w:val="0"/>
          <w:bCs w:val="0"/>
          <w:color w:val="auto"/>
          <w:kern w:val="0"/>
          <w:sz w:val="32"/>
          <w:szCs w:val="32"/>
          <w:highlight w:val="none"/>
          <w:lang w:val="en-US" w:eastAsia="zh" w:bidi="ar"/>
        </w:rPr>
        <w:t>。</w:t>
      </w:r>
    </w:p>
    <w:p w14:paraId="04BAE476">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lang w:eastAsia="zh"/>
        </w:rPr>
      </w:pPr>
      <w:r>
        <w:rPr>
          <w:rFonts w:hint="eastAsia" w:ascii="Times New Roman" w:hAnsi="Times New Roman" w:eastAsia="方正仿宋_GBK" w:cs="Times New Roman"/>
          <w:b w:val="0"/>
          <w:bCs w:val="0"/>
          <w:color w:val="auto"/>
          <w:sz w:val="32"/>
          <w:szCs w:val="32"/>
          <w:highlight w:val="none"/>
        </w:rPr>
        <w:t>根据交易</w:t>
      </w:r>
      <w:r>
        <w:rPr>
          <w:rFonts w:hint="eastAsia" w:ascii="Times New Roman" w:hAnsi="Times New Roman" w:eastAsia="方正仿宋_GBK" w:cs="Times New Roman"/>
          <w:b w:val="0"/>
          <w:bCs w:val="0"/>
          <w:color w:val="auto"/>
          <w:sz w:val="32"/>
          <w:szCs w:val="32"/>
          <w:highlight w:val="none"/>
          <w:lang w:eastAsia="zh-CN"/>
        </w:rPr>
        <w:t>组织</w:t>
      </w:r>
      <w:r>
        <w:rPr>
          <w:rFonts w:hint="eastAsia" w:ascii="Times New Roman" w:hAnsi="Times New Roman" w:eastAsia="方正仿宋_GBK" w:cs="Times New Roman"/>
          <w:b w:val="0"/>
          <w:bCs w:val="0"/>
          <w:color w:val="auto"/>
          <w:sz w:val="32"/>
          <w:szCs w:val="32"/>
          <w:highlight w:val="none"/>
          <w:lang w:val="en-US" w:eastAsia="zh-CN"/>
        </w:rPr>
        <w:t>方式</w:t>
      </w:r>
      <w:r>
        <w:rPr>
          <w:rFonts w:hint="eastAsia" w:ascii="Times New Roman" w:hAnsi="Times New Roman" w:eastAsia="方正仿宋_GBK" w:cs="Times New Roman"/>
          <w:b w:val="0"/>
          <w:bCs w:val="0"/>
          <w:color w:val="auto"/>
          <w:sz w:val="32"/>
          <w:szCs w:val="32"/>
          <w:highlight w:val="none"/>
          <w:lang w:val="en-US" w:eastAsia="zh-CN"/>
        </w:rPr>
        <w:t>不同</w:t>
      </w:r>
      <w:r>
        <w:rPr>
          <w:rFonts w:hint="eastAsia" w:ascii="Times New Roman" w:hAnsi="Times New Roman" w:eastAsia="方正仿宋_GBK" w:cs="Times New Roman"/>
          <w:b w:val="0"/>
          <w:bCs w:val="0"/>
          <w:color w:val="auto"/>
          <w:sz w:val="32"/>
          <w:szCs w:val="32"/>
          <w:highlight w:val="none"/>
        </w:rPr>
        <w:t>，</w:t>
      </w:r>
      <w:r>
        <w:rPr>
          <w:rFonts w:hint="eastAsia" w:ascii="Times New Roman" w:hAnsi="Times New Roman" w:eastAsia="方正仿宋_GBK" w:cs="Times New Roman"/>
          <w:b w:val="0"/>
          <w:bCs w:val="0"/>
          <w:color w:val="auto"/>
          <w:sz w:val="32"/>
          <w:szCs w:val="32"/>
          <w:highlight w:val="none"/>
          <w:lang w:eastAsia="zh-CN"/>
        </w:rPr>
        <w:t>电力中长期交易</w:t>
      </w:r>
      <w:r>
        <w:rPr>
          <w:rFonts w:hint="eastAsia" w:ascii="Times New Roman" w:hAnsi="Times New Roman" w:eastAsia="方正仿宋_GBK" w:cs="Times New Roman"/>
          <w:b w:val="0"/>
          <w:bCs w:val="0"/>
          <w:color w:val="auto"/>
          <w:sz w:val="32"/>
          <w:szCs w:val="32"/>
          <w:highlight w:val="none"/>
          <w:lang w:eastAsia="zh"/>
        </w:rPr>
        <w:t>包括集中交易和</w:t>
      </w:r>
      <w:r>
        <w:rPr>
          <w:rFonts w:hint="eastAsia" w:ascii="Times New Roman" w:hAnsi="Times New Roman" w:eastAsia="方正仿宋_GBK" w:cs="Times New Roman"/>
          <w:b w:val="0"/>
          <w:bCs w:val="0"/>
          <w:color w:val="auto"/>
          <w:sz w:val="32"/>
          <w:szCs w:val="32"/>
          <w:highlight w:val="none"/>
          <w:lang w:val="en-US" w:eastAsia="zh-CN"/>
        </w:rPr>
        <w:t>双边</w:t>
      </w:r>
      <w:r>
        <w:rPr>
          <w:rFonts w:hint="eastAsia" w:ascii="Times New Roman" w:hAnsi="Times New Roman" w:eastAsia="方正仿宋_GBK" w:cs="Times New Roman"/>
          <w:b w:val="0"/>
          <w:bCs w:val="0"/>
          <w:color w:val="auto"/>
          <w:sz w:val="32"/>
          <w:szCs w:val="32"/>
          <w:highlight w:val="none"/>
          <w:lang w:eastAsia="zh"/>
        </w:rPr>
        <w:t>协商交易两种</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其中，</w:t>
      </w:r>
      <w:r>
        <w:rPr>
          <w:rFonts w:hint="eastAsia" w:ascii="Times New Roman" w:hAnsi="Times New Roman" w:eastAsia="方正仿宋_GBK" w:cs="Times New Roman"/>
          <w:b w:val="0"/>
          <w:bCs w:val="0"/>
          <w:color w:val="auto"/>
          <w:sz w:val="32"/>
          <w:szCs w:val="32"/>
          <w:highlight w:val="none"/>
          <w:lang w:eastAsia="zh"/>
        </w:rPr>
        <w:t>集中交易包括集中竞价交易、集中撮合交易、滚动撮合交易、挂牌交易等方式。</w:t>
      </w:r>
    </w:p>
    <w:p w14:paraId="097B1853">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lang w:eastAsia="zh"/>
        </w:rPr>
      </w:pPr>
      <w:r>
        <w:rPr>
          <w:rFonts w:hint="eastAsia" w:ascii="Times New Roman" w:hAnsi="Times New Roman" w:eastAsia="方正仿宋_GBK" w:cs="Times New Roman"/>
          <w:b w:val="0"/>
          <w:bCs w:val="0"/>
          <w:color w:val="auto"/>
          <w:sz w:val="32"/>
          <w:szCs w:val="32"/>
          <w:highlight w:val="none"/>
          <w:lang w:eastAsia="zh"/>
        </w:rPr>
        <w:t>经营主体</w:t>
      </w:r>
      <w:r>
        <w:rPr>
          <w:rFonts w:hint="eastAsia" w:ascii="Times New Roman" w:hAnsi="Times New Roman" w:eastAsia="方正仿宋_GBK" w:cs="Times New Roman"/>
          <w:b w:val="0"/>
          <w:bCs w:val="0"/>
          <w:color w:val="auto"/>
          <w:sz w:val="32"/>
          <w:szCs w:val="32"/>
          <w:highlight w:val="none"/>
          <w:lang w:val="en-US" w:eastAsia="zh-CN"/>
        </w:rPr>
        <w:t>等</w:t>
      </w:r>
      <w:r>
        <w:rPr>
          <w:rFonts w:hint="eastAsia" w:ascii="Times New Roman" w:hAnsi="Times New Roman" w:eastAsia="方正仿宋_GBK" w:cs="Times New Roman"/>
          <w:b w:val="0"/>
          <w:bCs w:val="0"/>
          <w:color w:val="auto"/>
          <w:sz w:val="32"/>
          <w:szCs w:val="32"/>
          <w:highlight w:val="none"/>
          <w:lang w:eastAsia="zh"/>
        </w:rPr>
        <w:t>按照市场规则</w:t>
      </w:r>
      <w:r>
        <w:rPr>
          <w:rFonts w:hint="eastAsia" w:ascii="Times New Roman" w:hAnsi="Times New Roman" w:eastAsia="方正仿宋_GBK" w:cs="Times New Roman"/>
          <w:b w:val="0"/>
          <w:bCs w:val="0"/>
          <w:color w:val="auto"/>
          <w:sz w:val="32"/>
          <w:szCs w:val="32"/>
          <w:highlight w:val="none"/>
          <w:lang w:val="en-US" w:eastAsia="zh-CN"/>
        </w:rPr>
        <w:t>在</w:t>
      </w:r>
      <w:r>
        <w:rPr>
          <w:rFonts w:hint="eastAsia" w:ascii="Times New Roman" w:hAnsi="Times New Roman" w:eastAsia="方正仿宋_GBK" w:cs="Times New Roman"/>
          <w:b w:val="0"/>
          <w:bCs w:val="0"/>
          <w:color w:val="auto"/>
          <w:sz w:val="32"/>
          <w:szCs w:val="32"/>
          <w:highlight w:val="none"/>
          <w:lang w:eastAsia="zh"/>
        </w:rPr>
        <w:t>电力交易平台申报</w:t>
      </w:r>
      <w:r>
        <w:rPr>
          <w:rFonts w:hint="eastAsia" w:ascii="Times New Roman" w:hAnsi="Times New Roman" w:eastAsia="方正仿宋_GBK" w:cs="Times New Roman"/>
          <w:b w:val="0"/>
          <w:bCs w:val="0"/>
          <w:color w:val="auto"/>
          <w:sz w:val="32"/>
          <w:szCs w:val="32"/>
          <w:highlight w:val="none"/>
          <w:lang w:val="en-US" w:eastAsia="zh-CN"/>
        </w:rPr>
        <w:t>交易信息</w:t>
      </w:r>
      <w:r>
        <w:rPr>
          <w:rFonts w:hint="eastAsia" w:ascii="Times New Roman" w:hAnsi="Times New Roman" w:eastAsia="方正仿宋_GBK" w:cs="Times New Roman"/>
          <w:b w:val="0"/>
          <w:bCs w:val="0"/>
          <w:color w:val="auto"/>
          <w:sz w:val="32"/>
          <w:szCs w:val="32"/>
          <w:highlight w:val="none"/>
          <w:lang w:eastAsia="zh"/>
        </w:rPr>
        <w:t>并经</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val="en-US" w:eastAsia="zh-CN"/>
        </w:rPr>
        <w:t>电力</w:t>
      </w:r>
      <w:r>
        <w:rPr>
          <w:rFonts w:hint="eastAsia" w:ascii="Times New Roman" w:hAnsi="Times New Roman" w:eastAsia="方正仿宋_GBK" w:cs="Times New Roman"/>
          <w:b w:val="0"/>
          <w:bCs w:val="0"/>
          <w:color w:val="auto"/>
          <w:sz w:val="32"/>
          <w:szCs w:val="32"/>
          <w:highlight w:val="none"/>
          <w:lang w:eastAsia="zh"/>
        </w:rPr>
        <w:t>市场运营机构校核后，形成交易结果。</w:t>
      </w:r>
    </w:p>
    <w:p w14:paraId="49B48A5B">
      <w:pPr>
        <w:pageBreakBefore w:val="0"/>
        <w:widowControl/>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电力中长期交易应实现带曲线签约、分时段结算，并</w:t>
      </w:r>
      <w:r>
        <w:rPr>
          <w:rFonts w:hint="eastAsia" w:ascii="Times New Roman" w:hAnsi="Times New Roman" w:eastAsia="方正仿宋_GBK" w:cs="Times New Roman"/>
          <w:b w:val="0"/>
          <w:bCs w:val="0"/>
          <w:color w:val="auto"/>
          <w:sz w:val="32"/>
          <w:szCs w:val="32"/>
          <w:highlight w:val="none"/>
        </w:rPr>
        <w:t>约定电量、价格、结算参考点等关键要素。</w:t>
      </w:r>
    </w:p>
    <w:p w14:paraId="76F597F9">
      <w:pPr>
        <w:pageBreakBefore w:val="0"/>
        <w:widowControl/>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绿色电力交易</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以下简称“绿电交易”</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是指以绿色电力和对应绿色电力环境价值</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以下简称“绿电环境价值”</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为标的物的电力</w:t>
      </w:r>
      <w:r>
        <w:rPr>
          <w:rFonts w:hint="eastAsia" w:ascii="Times New Roman" w:hAnsi="Times New Roman" w:eastAsia="方正仿宋_GBK" w:cs="Times New Roman"/>
          <w:b w:val="0"/>
          <w:bCs w:val="0"/>
          <w:color w:val="auto"/>
          <w:sz w:val="32"/>
          <w:szCs w:val="32"/>
          <w:highlight w:val="none"/>
          <w:lang w:val="en-US" w:eastAsia="zh-CN"/>
        </w:rPr>
        <w:t>产品</w:t>
      </w:r>
      <w:r>
        <w:rPr>
          <w:rFonts w:hint="eastAsia" w:ascii="Times New Roman" w:hAnsi="Times New Roman" w:eastAsia="方正仿宋_GBK" w:cs="Times New Roman"/>
          <w:b w:val="0"/>
          <w:bCs w:val="0"/>
          <w:color w:val="auto"/>
          <w:sz w:val="32"/>
          <w:szCs w:val="32"/>
          <w:highlight w:val="none"/>
        </w:rPr>
        <w:t>，交易电力</w:t>
      </w:r>
      <w:r>
        <w:rPr>
          <w:rFonts w:hint="eastAsia" w:ascii="Times New Roman" w:hAnsi="Times New Roman" w:eastAsia="方正仿宋_GBK" w:cs="Times New Roman"/>
          <w:b w:val="0"/>
          <w:bCs w:val="0"/>
          <w:color w:val="auto"/>
          <w:sz w:val="32"/>
          <w:szCs w:val="32"/>
          <w:highlight w:val="none"/>
          <w:lang w:eastAsia="zh-CN"/>
        </w:rPr>
        <w:t>的</w:t>
      </w:r>
      <w:r>
        <w:rPr>
          <w:rFonts w:hint="eastAsia" w:ascii="Times New Roman" w:hAnsi="Times New Roman" w:eastAsia="方正仿宋_GBK" w:cs="Times New Roman"/>
          <w:b w:val="0"/>
          <w:bCs w:val="0"/>
          <w:color w:val="auto"/>
          <w:sz w:val="32"/>
          <w:szCs w:val="32"/>
          <w:highlight w:val="none"/>
        </w:rPr>
        <w:t>同时提供国家核发的可再生能源绿色电力证书</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以下简称“绿证”</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w:t>
      </w:r>
    </w:p>
    <w:p w14:paraId="400E7D88">
      <w:pPr>
        <w:pageBreakBefore w:val="0"/>
        <w:widowControl/>
        <w:numPr>
          <w:ilvl w:val="0"/>
          <w:numId w:val="4"/>
        </w:numPr>
        <w:kinsoku/>
        <w:wordWrap/>
        <w:overflowPunct/>
        <w:topLinePunct w:val="0"/>
        <w:autoSpaceDE/>
        <w:autoSpaceDN/>
        <w:bidi w:val="0"/>
        <w:adjustRightInd w:val="0"/>
        <w:snapToGrid w:val="0"/>
        <w:spacing w:line="588" w:lineRule="exact"/>
        <w:ind w:left="-13" w:firstLine="643" w:firstLineChars="0"/>
        <w:jc w:val="both"/>
        <w:textAlignment w:val="auto"/>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strike w:val="0"/>
          <w:color w:val="auto"/>
          <w:kern w:val="2"/>
          <w:sz w:val="32"/>
          <w:szCs w:val="32"/>
          <w:highlight w:val="none"/>
          <w:lang w:val="en-US" w:eastAsia="zh-CN" w:bidi="ar"/>
        </w:rPr>
        <w:t>电力中长期市场交易时段应逐步实现与现货市场的有效衔接，</w:t>
      </w:r>
      <w:r>
        <w:rPr>
          <w:rFonts w:hint="eastAsia" w:ascii="Times New Roman" w:hAnsi="Times New Roman" w:eastAsia="方正仿宋_GBK" w:cs="Times New Roman"/>
          <w:b w:val="0"/>
          <w:bCs w:val="0"/>
          <w:color w:val="auto"/>
          <w:kern w:val="2"/>
          <w:sz w:val="32"/>
          <w:szCs w:val="32"/>
          <w:highlight w:val="none"/>
          <w:lang w:val="en-US" w:eastAsia="zh-CN" w:bidi="ar"/>
        </w:rPr>
        <w:t>经营</w:t>
      </w:r>
      <w:r>
        <w:rPr>
          <w:rFonts w:hint="eastAsia" w:ascii="Times New Roman" w:hAnsi="Times New Roman" w:eastAsia="方正仿宋_GBK" w:cs="Times New Roman"/>
          <w:b w:val="0"/>
          <w:bCs w:val="0"/>
          <w:color w:val="auto"/>
          <w:kern w:val="2"/>
          <w:sz w:val="32"/>
          <w:szCs w:val="32"/>
          <w:highlight w:val="none"/>
          <w:lang w:bidi="ar"/>
        </w:rPr>
        <w:t>主体</w:t>
      </w:r>
      <w:r>
        <w:rPr>
          <w:rFonts w:hint="eastAsia" w:ascii="Times New Roman" w:hAnsi="Times New Roman" w:eastAsia="方正仿宋_GBK" w:cs="Times New Roman"/>
          <w:b w:val="0"/>
          <w:bCs w:val="0"/>
          <w:color w:val="auto"/>
          <w:kern w:val="2"/>
          <w:sz w:val="32"/>
          <w:szCs w:val="32"/>
          <w:highlight w:val="none"/>
          <w:lang w:val="en-US" w:eastAsia="zh-CN" w:bidi="ar"/>
        </w:rPr>
        <w:t>自主</w:t>
      </w:r>
      <w:r>
        <w:rPr>
          <w:rFonts w:hint="eastAsia" w:ascii="Times New Roman" w:hAnsi="Times New Roman" w:eastAsia="方正仿宋_GBK" w:cs="Times New Roman"/>
          <w:b w:val="0"/>
          <w:bCs w:val="0"/>
          <w:color w:val="auto"/>
          <w:kern w:val="2"/>
          <w:sz w:val="32"/>
          <w:szCs w:val="32"/>
          <w:highlight w:val="none"/>
          <w:lang w:eastAsia="zh-CN" w:bidi="ar"/>
        </w:rPr>
        <w:t>申报</w:t>
      </w:r>
      <w:r>
        <w:rPr>
          <w:rFonts w:hint="eastAsia" w:ascii="Times New Roman" w:hAnsi="Times New Roman" w:eastAsia="方正仿宋_GBK" w:cs="Times New Roman"/>
          <w:b w:val="0"/>
          <w:bCs w:val="0"/>
          <w:strike w:val="0"/>
          <w:color w:val="auto"/>
          <w:kern w:val="2"/>
          <w:sz w:val="32"/>
          <w:szCs w:val="32"/>
          <w:highlight w:val="none"/>
          <w:lang w:val="en-US" w:eastAsia="zh-CN" w:bidi="ar"/>
        </w:rPr>
        <w:t>电力中长期交易</w:t>
      </w:r>
      <w:r>
        <w:rPr>
          <w:rFonts w:hint="eastAsia" w:ascii="Times New Roman" w:hAnsi="Times New Roman" w:eastAsia="方正仿宋_GBK" w:cs="Times New Roman"/>
          <w:b w:val="0"/>
          <w:bCs w:val="0"/>
          <w:color w:val="auto"/>
          <w:kern w:val="2"/>
          <w:sz w:val="32"/>
          <w:szCs w:val="32"/>
          <w:highlight w:val="none"/>
          <w:lang w:bidi="ar"/>
        </w:rPr>
        <w:t>各时段交易电量，</w:t>
      </w:r>
      <w:r>
        <w:rPr>
          <w:rFonts w:hint="eastAsia" w:ascii="Times New Roman" w:hAnsi="Times New Roman" w:eastAsia="方正仿宋_GBK" w:cs="Times New Roman"/>
          <w:b w:val="0"/>
          <w:bCs w:val="0"/>
          <w:color w:val="auto"/>
          <w:kern w:val="2"/>
          <w:sz w:val="32"/>
          <w:szCs w:val="32"/>
          <w:highlight w:val="none"/>
          <w:lang w:eastAsia="zh-CN" w:bidi="ar"/>
        </w:rPr>
        <w:t>按照</w:t>
      </w:r>
      <w:r>
        <w:rPr>
          <w:rFonts w:hint="eastAsia" w:ascii="Times New Roman" w:hAnsi="Times New Roman" w:eastAsia="方正仿宋_GBK" w:cs="Times New Roman"/>
          <w:b w:val="0"/>
          <w:bCs w:val="0"/>
          <w:strike w:val="0"/>
          <w:color w:val="auto"/>
          <w:kern w:val="2"/>
          <w:sz w:val="32"/>
          <w:szCs w:val="32"/>
          <w:highlight w:val="none"/>
          <w:lang w:val="en-US" w:eastAsia="zh-CN" w:bidi="ar"/>
        </w:rPr>
        <w:t>市场规则</w:t>
      </w:r>
      <w:r>
        <w:rPr>
          <w:rFonts w:hint="eastAsia" w:ascii="Times New Roman" w:hAnsi="Times New Roman" w:eastAsia="方正仿宋_GBK" w:cs="Times New Roman"/>
          <w:b w:val="0"/>
          <w:bCs w:val="0"/>
          <w:color w:val="auto"/>
          <w:kern w:val="2"/>
          <w:sz w:val="32"/>
          <w:szCs w:val="32"/>
          <w:highlight w:val="none"/>
          <w:lang w:eastAsia="zh-CN" w:bidi="ar"/>
        </w:rPr>
        <w:t>出清</w:t>
      </w:r>
      <w:r>
        <w:rPr>
          <w:rFonts w:hint="eastAsia" w:ascii="Times New Roman" w:hAnsi="Times New Roman" w:eastAsia="方正仿宋_GBK" w:cs="Times New Roman"/>
          <w:b w:val="0"/>
          <w:bCs w:val="0"/>
          <w:color w:val="auto"/>
          <w:kern w:val="2"/>
          <w:sz w:val="32"/>
          <w:szCs w:val="32"/>
          <w:highlight w:val="none"/>
          <w:lang w:bidi="ar"/>
        </w:rPr>
        <w:t>形成</w:t>
      </w:r>
      <w:r>
        <w:rPr>
          <w:rFonts w:hint="eastAsia" w:ascii="Times New Roman" w:hAnsi="Times New Roman" w:eastAsia="方正仿宋_GBK" w:cs="Times New Roman"/>
          <w:b w:val="0"/>
          <w:bCs w:val="0"/>
          <w:color w:val="auto"/>
          <w:kern w:val="2"/>
          <w:sz w:val="32"/>
          <w:szCs w:val="32"/>
          <w:highlight w:val="none"/>
          <w:lang w:val="en-US" w:eastAsia="zh-CN" w:bidi="ar"/>
        </w:rPr>
        <w:t>分时段交易结果。</w:t>
      </w:r>
    </w:p>
    <w:p w14:paraId="79F5F3B2">
      <w:pPr>
        <w:pageBreakBefore w:val="0"/>
        <w:widowControl/>
        <w:numPr>
          <w:ilvl w:val="-1"/>
          <w:numId w:val="0"/>
        </w:numPr>
        <w:kinsoku/>
        <w:wordWrap/>
        <w:overflowPunct/>
        <w:topLinePunct w:val="0"/>
        <w:autoSpaceDE/>
        <w:autoSpaceDN/>
        <w:bidi w:val="0"/>
        <w:adjustRightInd w:val="0"/>
        <w:snapToGrid w:val="0"/>
        <w:spacing w:line="588" w:lineRule="exact"/>
        <w:ind w:left="0" w:firstLine="640" w:firstLineChars="200"/>
        <w:jc w:val="both"/>
        <w:textAlignment w:val="auto"/>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同一经营主体可以选择买入或卖出电量，但在同一交易序列同一时段只能选择买入或卖出一种行为。</w:t>
      </w:r>
    </w:p>
    <w:p w14:paraId="4B875FDC">
      <w:pPr>
        <w:widowControl/>
        <w:numPr>
          <w:ilvl w:val="0"/>
          <w:numId w:val="4"/>
        </w:numPr>
        <w:adjustRightInd w:val="0"/>
        <w:snapToGrid w:val="0"/>
        <w:spacing w:line="588" w:lineRule="exact"/>
        <w:ind w:left="-13" w:firstLine="640" w:firstLineChars="0"/>
        <w:jc w:val="left"/>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bidi="ar"/>
        </w:rPr>
      </w:pP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bidi="ar"/>
        </w:rPr>
        <w:t>经营主体可将未履行的合同全部或部分通过合同转让交易转让给第三方，相关权责一并转让。</w:t>
      </w:r>
    </w:p>
    <w:p w14:paraId="4C60085B">
      <w:pPr>
        <w:widowControl/>
        <w:numPr>
          <w:ilvl w:val="0"/>
          <w:numId w:val="0"/>
        </w:numPr>
        <w:adjustRightInd w:val="0"/>
        <w:snapToGrid w:val="0"/>
        <w:spacing w:line="588" w:lineRule="exact"/>
        <w:ind w:left="627"/>
        <w:jc w:val="left"/>
        <w:rPr>
          <w:rFonts w:hint="eastAsia"/>
          <w:color w:val="auto"/>
          <w:lang w:val="en-US" w:eastAsia="zh-CN"/>
        </w:rPr>
      </w:pPr>
      <w:r>
        <w:rPr>
          <w:rFonts w:hint="eastAsia" w:ascii="方正仿宋_GBK" w:hAnsi="方正仿宋_GBK" w:eastAsia="方正仿宋_GBK" w:cs="方正仿宋_GBK"/>
          <w:b w:val="0"/>
          <w:bCs w:val="0"/>
          <w:color w:val="auto"/>
          <w:kern w:val="0"/>
          <w:sz w:val="32"/>
          <w:szCs w:val="32"/>
          <w:highlight w:val="none"/>
          <w:shd w:val="clear" w:color="auto" w:fill="FFFFFF"/>
          <w:lang w:val="en-US" w:eastAsia="zh-CN" w:bidi="ar"/>
        </w:rPr>
        <w:t>绿电合同转让交易需相关各方协商一致。</w:t>
      </w:r>
    </w:p>
    <w:p w14:paraId="5C964BE8">
      <w:pPr>
        <w:pStyle w:val="2"/>
        <w:widowControl/>
        <w:adjustRightInd w:val="0"/>
        <w:snapToGrid w:val="0"/>
        <w:spacing w:line="588" w:lineRule="exact"/>
        <w:jc w:val="center"/>
        <w:rPr>
          <w:rFonts w:hint="eastAsia" w:ascii="Times New Roman" w:hAnsi="Times New Roman" w:eastAsia="方正楷体_GBK" w:cs="Times New Roman"/>
          <w:b w:val="0"/>
          <w:bCs w:val="0"/>
          <w:color w:val="auto"/>
          <w:sz w:val="32"/>
          <w:szCs w:val="32"/>
          <w:highlight w:val="none"/>
          <w:lang w:eastAsia="zh"/>
        </w:rPr>
      </w:pPr>
      <w:bookmarkStart w:id="81" w:name="_Toc29041"/>
      <w:bookmarkStart w:id="82" w:name="_Toc1737"/>
      <w:bookmarkStart w:id="83" w:name="_Toc1194572520"/>
      <w:bookmarkStart w:id="84" w:name="_Toc7007"/>
      <w:bookmarkStart w:id="85" w:name="_Toc31398"/>
      <w:bookmarkStart w:id="86" w:name="_Toc1517"/>
      <w:bookmarkStart w:id="87" w:name="_Toc5909"/>
      <w:bookmarkStart w:id="88" w:name="_Toc18133"/>
      <w:bookmarkStart w:id="89" w:name="_Toc10107"/>
      <w:bookmarkStart w:id="90" w:name="_Toc353"/>
      <w:bookmarkStart w:id="91" w:name="_Toc1905852318"/>
      <w:bookmarkStart w:id="92" w:name="_Toc215365552"/>
      <w:bookmarkStart w:id="93" w:name="_Toc882160545"/>
      <w:bookmarkStart w:id="94" w:name="_Toc4072"/>
      <w:r>
        <w:rPr>
          <w:rFonts w:hint="eastAsia" w:ascii="Times New Roman" w:hAnsi="Times New Roman" w:eastAsia="方正楷体_GBK" w:cs="Times New Roman"/>
          <w:b w:val="0"/>
          <w:bCs w:val="0"/>
          <w:color w:val="auto"/>
          <w:sz w:val="32"/>
          <w:szCs w:val="32"/>
          <w:highlight w:val="none"/>
          <w:lang w:eastAsia="zh"/>
        </w:rPr>
        <w:t>第</w:t>
      </w:r>
      <w:r>
        <w:rPr>
          <w:rFonts w:hint="eastAsia" w:ascii="Times New Roman" w:hAnsi="Times New Roman" w:eastAsia="方正楷体_GBK" w:cs="Times New Roman"/>
          <w:b w:val="0"/>
          <w:bCs w:val="0"/>
          <w:color w:val="auto"/>
          <w:sz w:val="32"/>
          <w:szCs w:val="32"/>
          <w:highlight w:val="none"/>
          <w:lang w:eastAsia="zh-CN"/>
        </w:rPr>
        <w:t>二节</w:t>
      </w:r>
      <w:r>
        <w:rPr>
          <w:rFonts w:hint="eastAsia" w:ascii="Times New Roman" w:hAnsi="Times New Roman" w:eastAsia="方正楷体_GBK" w:cs="Times New Roman"/>
          <w:b w:val="0"/>
          <w:bCs w:val="0"/>
          <w:color w:val="auto"/>
          <w:sz w:val="32"/>
          <w:szCs w:val="32"/>
          <w:highlight w:val="none"/>
          <w:lang w:eastAsia="zh"/>
        </w:rPr>
        <w:t xml:space="preserve"> 价格机制</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EF49FAC">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eastAsia="zh-CN"/>
        </w:rPr>
        <w:t>国务院价格主管部门制定电力中长期市场价格机制的总体原则，各省（区、市）价格主管部门会同能源、电力运行主管部门、国家能源局派出机构组织制定具体细则，并在当地市场规则中体现。</w:t>
      </w:r>
    </w:p>
    <w:p w14:paraId="26ED788D">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除执行政府</w:t>
      </w:r>
      <w:r>
        <w:rPr>
          <w:rFonts w:hint="eastAsia" w:ascii="Times New Roman" w:hAnsi="Times New Roman" w:eastAsia="方正仿宋_GBK" w:cs="Times New Roman"/>
          <w:b w:val="0"/>
          <w:bCs w:val="0"/>
          <w:color w:val="auto"/>
          <w:sz w:val="32"/>
          <w:szCs w:val="32"/>
          <w:highlight w:val="none"/>
          <w:lang w:eastAsia="zh-CN"/>
        </w:rPr>
        <w:t>定价</w:t>
      </w:r>
      <w:r>
        <w:rPr>
          <w:rFonts w:hint="eastAsia" w:ascii="Times New Roman" w:hAnsi="Times New Roman" w:eastAsia="方正仿宋_GBK" w:cs="Times New Roman"/>
          <w:b w:val="0"/>
          <w:bCs w:val="0"/>
          <w:color w:val="auto"/>
          <w:sz w:val="32"/>
          <w:szCs w:val="32"/>
          <w:highlight w:val="none"/>
        </w:rPr>
        <w:t>的电量外，</w:t>
      </w:r>
      <w:r>
        <w:rPr>
          <w:rFonts w:hint="eastAsia" w:ascii="Times New Roman" w:hAnsi="Times New Roman" w:eastAsia="方正仿宋_GBK" w:cs="Times New Roman"/>
          <w:b w:val="0"/>
          <w:bCs w:val="0"/>
          <w:color w:val="auto"/>
          <w:sz w:val="32"/>
          <w:szCs w:val="32"/>
          <w:highlight w:val="none"/>
          <w:lang w:eastAsia="zh-CN"/>
        </w:rPr>
        <w:t>电力中长期</w:t>
      </w:r>
      <w:r>
        <w:rPr>
          <w:rFonts w:hint="eastAsia" w:ascii="Times New Roman" w:hAnsi="Times New Roman" w:eastAsia="方正仿宋_GBK" w:cs="Times New Roman"/>
          <w:b w:val="0"/>
          <w:bCs w:val="0"/>
          <w:color w:val="auto"/>
          <w:sz w:val="32"/>
          <w:szCs w:val="32"/>
          <w:highlight w:val="none"/>
          <w:lang w:eastAsia="zh-CN"/>
        </w:rPr>
        <w:t>市场</w:t>
      </w:r>
      <w:r>
        <w:rPr>
          <w:rFonts w:hint="eastAsia" w:ascii="Times New Roman" w:hAnsi="Times New Roman" w:eastAsia="方正仿宋_GBK" w:cs="Times New Roman"/>
          <w:b w:val="0"/>
          <w:bCs w:val="0"/>
          <w:color w:val="auto"/>
          <w:sz w:val="32"/>
          <w:szCs w:val="32"/>
          <w:highlight w:val="none"/>
        </w:rPr>
        <w:t>的成交价格应当由</w:t>
      </w:r>
      <w:r>
        <w:rPr>
          <w:rFonts w:hint="eastAsia" w:ascii="Times New Roman" w:hAnsi="Times New Roman" w:eastAsia="方正仿宋_GBK" w:cs="Times New Roman"/>
          <w:b w:val="0"/>
          <w:bCs w:val="0"/>
          <w:color w:val="auto"/>
          <w:sz w:val="32"/>
          <w:szCs w:val="32"/>
          <w:highlight w:val="none"/>
          <w:lang w:val="en-US" w:eastAsia="zh-CN"/>
        </w:rPr>
        <w:t>经营主体</w:t>
      </w:r>
      <w:r>
        <w:rPr>
          <w:rFonts w:hint="eastAsia" w:ascii="Times New Roman" w:hAnsi="Times New Roman" w:eastAsia="方正仿宋_GBK" w:cs="Times New Roman"/>
          <w:b w:val="0"/>
          <w:bCs w:val="0"/>
          <w:color w:val="auto"/>
          <w:sz w:val="32"/>
          <w:szCs w:val="32"/>
          <w:highlight w:val="none"/>
        </w:rPr>
        <w:t>通过市场化方式形成，第三方不得干预。</w:t>
      </w:r>
    </w:p>
    <w:p w14:paraId="236DCD5D">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rPr>
        <w:t>绿电交易价格由电能量价格与</w:t>
      </w: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环境价值组成，并在交易中分别明确。</w:t>
      </w: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环境价值不纳入峰谷分时电价机制以及力调电费等计算，具体按照国家有关政策规定执行。</w:t>
      </w:r>
      <w:r>
        <w:rPr>
          <w:rFonts w:hint="eastAsia" w:ascii="Times New Roman" w:hAnsi="Times New Roman" w:eastAsia="方正仿宋_GBK" w:cs="Times New Roman"/>
          <w:b w:val="0"/>
          <w:bCs w:val="0"/>
          <w:color w:val="auto"/>
          <w:sz w:val="32"/>
          <w:szCs w:val="32"/>
          <w:highlight w:val="none"/>
          <w:lang w:val="en-US" w:eastAsia="zh-CN"/>
        </w:rPr>
        <w:t>省内绿色电力交易</w:t>
      </w:r>
      <w:r>
        <w:rPr>
          <w:rFonts w:hint="eastAsia" w:ascii="Times New Roman" w:hAnsi="Times New Roman" w:eastAsia="方正仿宋_GBK" w:cs="Times New Roman"/>
          <w:b w:val="0"/>
          <w:bCs w:val="0"/>
          <w:color w:val="auto"/>
          <w:sz w:val="32"/>
          <w:szCs w:val="32"/>
          <w:highlight w:val="none"/>
        </w:rPr>
        <w:t>不单独组织集中竞价和滚动撮合交易</w:t>
      </w:r>
      <w:r>
        <w:rPr>
          <w:rFonts w:hint="eastAsia" w:ascii="Times New Roman" w:hAnsi="Times New Roman" w:eastAsia="方正仿宋_GBK" w:cs="Times New Roman"/>
          <w:b w:val="0"/>
          <w:bCs w:val="0"/>
          <w:color w:val="auto"/>
          <w:sz w:val="32"/>
          <w:szCs w:val="32"/>
          <w:highlight w:val="none"/>
          <w:lang w:eastAsia="zh-CN"/>
        </w:rPr>
        <w:t>。</w:t>
      </w:r>
    </w:p>
    <w:p w14:paraId="2F5E379C">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合同电价可选择固定合同价格</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也可</w:t>
      </w:r>
      <w:r>
        <w:rPr>
          <w:rFonts w:hint="eastAsia" w:ascii="Times New Roman" w:hAnsi="Times New Roman" w:eastAsia="方正仿宋_GBK" w:cs="Times New Roman"/>
          <w:b w:val="0"/>
          <w:bCs w:val="0"/>
          <w:color w:val="auto"/>
          <w:sz w:val="32"/>
          <w:szCs w:val="32"/>
          <w:highlight w:val="none"/>
        </w:rPr>
        <w:t>与月度煤电价格指数、现货市场均价等进行联动</w:t>
      </w:r>
      <w:r>
        <w:rPr>
          <w:rFonts w:hint="eastAsia" w:ascii="Times New Roman" w:hAnsi="Times New Roman" w:eastAsia="方正仿宋_GBK" w:cs="Times New Roman"/>
          <w:b w:val="0"/>
          <w:bCs w:val="0"/>
          <w:color w:val="auto"/>
          <w:sz w:val="32"/>
          <w:szCs w:val="32"/>
          <w:highlight w:val="none"/>
          <w:lang w:eastAsia="zh-CN"/>
        </w:rPr>
        <w:t>。</w:t>
      </w:r>
    </w:p>
    <w:p w14:paraId="3DF71DFB">
      <w:pPr>
        <w:pageBreakBefore w:val="0"/>
        <w:numPr>
          <w:ilvl w:val="0"/>
          <w:numId w:val="4"/>
        </w:numPr>
        <w:kinsoku/>
        <w:wordWrap/>
        <w:overflowPunct/>
        <w:topLinePunct w:val="0"/>
        <w:autoSpaceDN/>
        <w:bidi w:val="0"/>
        <w:adjustRightInd w:val="0"/>
        <w:snapToGrid w:val="0"/>
        <w:spacing w:line="588" w:lineRule="exact"/>
        <w:ind w:left="0" w:firstLine="643" w:firstLineChars="0"/>
        <w:rPr>
          <w:rFonts w:hint="eastAsia" w:ascii="Times New Roman" w:hAnsi="Times New Roman" w:eastAsia="方正仿宋_GBK" w:cs="Times New Roman"/>
          <w:b w:val="0"/>
          <w:bCs w:val="0"/>
          <w:color w:val="auto"/>
          <w:sz w:val="32"/>
          <w:szCs w:val="32"/>
          <w:highlight w:val="none"/>
          <w:lang w:eastAsia="zh"/>
        </w:rPr>
      </w:pPr>
      <w:r>
        <w:rPr>
          <w:rFonts w:hint="eastAsia" w:ascii="Times New Roman" w:hAnsi="Times New Roman" w:eastAsia="方正仿宋_GBK" w:cs="Times New Roman"/>
          <w:b w:val="0"/>
          <w:bCs w:val="0"/>
          <w:color w:val="auto"/>
          <w:sz w:val="32"/>
          <w:szCs w:val="32"/>
          <w:highlight w:val="none"/>
          <w:lang w:val="en-US" w:eastAsia="zh-CN"/>
        </w:rPr>
        <w:t>对直接参与市场交易的经营主体，不再人为规定分时电价水平和时段，由中长期分时段交易形成分时电价；对电网代理购电用户，由政府价格主管部门根据现货市场分时价格水平，统筹优化峰谷分时段和价格浮动比例。</w:t>
      </w:r>
    </w:p>
    <w:p w14:paraId="2AC16682">
      <w:pPr>
        <w:numPr>
          <w:ilvl w:val="0"/>
          <w:numId w:val="0"/>
        </w:numPr>
        <w:adjustRightInd w:val="0"/>
        <w:snapToGrid w:val="0"/>
        <w:spacing w:line="588" w:lineRule="exact"/>
        <w:ind w:firstLine="640" w:firstLineChars="200"/>
        <w:rPr>
          <w:rFonts w:hint="eastAsia"/>
          <w:color w:val="auto"/>
          <w:lang w:eastAsia="zh"/>
        </w:rPr>
      </w:pPr>
      <w:r>
        <w:rPr>
          <w:rFonts w:hint="eastAsia" w:ascii="Times New Roman" w:hAnsi="Times New Roman" w:eastAsia="方正仿宋_GBK" w:cs="Times New Roman"/>
          <w:b w:val="0"/>
          <w:bCs w:val="0"/>
          <w:strike w:val="0"/>
          <w:color w:val="auto"/>
          <w:sz w:val="32"/>
          <w:szCs w:val="32"/>
          <w:highlight w:val="none"/>
          <w:lang w:val="en-US" w:eastAsia="zh-CN"/>
        </w:rPr>
        <w:t>逐步</w:t>
      </w:r>
      <w:r>
        <w:rPr>
          <w:rFonts w:hint="eastAsia" w:ascii="Times New Roman" w:hAnsi="Times New Roman" w:eastAsia="方正仿宋_GBK" w:cs="Times New Roman"/>
          <w:b w:val="0"/>
          <w:bCs w:val="0"/>
          <w:color w:val="auto"/>
          <w:sz w:val="32"/>
          <w:szCs w:val="32"/>
          <w:highlight w:val="none"/>
          <w:lang w:val="en-US" w:eastAsia="zh-CN"/>
        </w:rPr>
        <w:t>推动月度、月内等较短周期的电力中长期交易限价与现货交易限价</w:t>
      </w:r>
      <w:r>
        <w:rPr>
          <w:rFonts w:hint="eastAsia" w:ascii="Times New Roman" w:hAnsi="Times New Roman" w:eastAsia="方正仿宋_GBK" w:cs="Times New Roman"/>
          <w:b w:val="0"/>
          <w:bCs w:val="0"/>
          <w:strike w:val="0"/>
          <w:color w:val="auto"/>
          <w:sz w:val="32"/>
          <w:szCs w:val="32"/>
          <w:highlight w:val="none"/>
          <w:lang w:val="en-US" w:eastAsia="zh-CN"/>
        </w:rPr>
        <w:t>贴近</w:t>
      </w:r>
      <w:r>
        <w:rPr>
          <w:rFonts w:hint="eastAsia" w:ascii="Times New Roman" w:hAnsi="Times New Roman" w:eastAsia="方正仿宋_GBK" w:cs="Times New Roman"/>
          <w:b w:val="0"/>
          <w:bCs w:val="0"/>
          <w:color w:val="auto"/>
          <w:sz w:val="32"/>
          <w:szCs w:val="32"/>
          <w:highlight w:val="none"/>
          <w:lang w:val="en-US" w:eastAsia="zh-CN"/>
        </w:rPr>
        <w:t>。</w:t>
      </w:r>
    </w:p>
    <w:p w14:paraId="10D94D44">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lang w:eastAsia="zh"/>
        </w:rPr>
      </w:pPr>
      <w:r>
        <w:rPr>
          <w:rFonts w:hint="eastAsia" w:ascii="Times New Roman" w:hAnsi="Times New Roman" w:eastAsia="方正仿宋_GBK" w:cs="Times New Roman"/>
          <w:b w:val="0"/>
          <w:bCs w:val="0"/>
          <w:color w:val="auto"/>
          <w:sz w:val="32"/>
          <w:szCs w:val="32"/>
          <w:highlight w:val="none"/>
          <w:lang w:eastAsia="zh-CN"/>
        </w:rPr>
        <w:t>跨省跨区交易价格由市场化方式形成，相关价格机制按照国家发展改革委、国家能源局有关规定执行。</w:t>
      </w:r>
    </w:p>
    <w:p w14:paraId="5FB4579A">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lang w:bidi="ar"/>
        </w:rPr>
      </w:pPr>
      <w:r>
        <w:rPr>
          <w:rFonts w:hint="eastAsia" w:ascii="Times New Roman" w:hAnsi="Times New Roman" w:eastAsia="方正仿宋_GBK" w:cs="Times New Roman"/>
          <w:b w:val="0"/>
          <w:bCs w:val="0"/>
          <w:color w:val="auto"/>
          <w:sz w:val="32"/>
          <w:szCs w:val="32"/>
          <w:highlight w:val="none"/>
        </w:rPr>
        <w:t>因电网安全约束必须开启的机组，约束上电量超出其合同电量的部分，由</w:t>
      </w:r>
      <w:r>
        <w:rPr>
          <w:rFonts w:hint="eastAsia" w:ascii="Times New Roman" w:hAnsi="Times New Roman" w:eastAsia="方正仿宋_GBK" w:cs="Times New Roman"/>
          <w:b w:val="0"/>
          <w:bCs w:val="0"/>
          <w:color w:val="auto"/>
          <w:sz w:val="32"/>
          <w:szCs w:val="32"/>
          <w:highlight w:val="none"/>
          <w:lang w:val="en-US" w:eastAsia="zh-CN"/>
        </w:rPr>
        <w:t>各省（区、市）</w:t>
      </w:r>
      <w:r>
        <w:rPr>
          <w:rFonts w:hint="eastAsia" w:ascii="Times New Roman" w:hAnsi="Times New Roman" w:eastAsia="方正仿宋_GBK" w:cs="Times New Roman"/>
          <w:b w:val="0"/>
          <w:bCs w:val="0"/>
          <w:color w:val="auto"/>
          <w:sz w:val="32"/>
          <w:szCs w:val="32"/>
          <w:highlight w:val="none"/>
        </w:rPr>
        <w:t>根据实际情况在</w:t>
      </w:r>
      <w:r>
        <w:rPr>
          <w:rFonts w:hint="eastAsia" w:ascii="Times New Roman" w:hAnsi="Times New Roman" w:eastAsia="方正仿宋_GBK" w:cs="Times New Roman"/>
          <w:b w:val="0"/>
          <w:bCs w:val="0"/>
          <w:color w:val="auto"/>
          <w:sz w:val="32"/>
          <w:szCs w:val="32"/>
          <w:highlight w:val="none"/>
          <w:lang w:val="en-US" w:eastAsia="zh-CN"/>
        </w:rPr>
        <w:t>实施</w:t>
      </w:r>
      <w:r>
        <w:rPr>
          <w:rFonts w:hint="eastAsia" w:ascii="Times New Roman" w:hAnsi="Times New Roman" w:eastAsia="方正仿宋_GBK" w:cs="Times New Roman"/>
          <w:b w:val="0"/>
          <w:bCs w:val="0"/>
          <w:color w:val="auto"/>
          <w:sz w:val="32"/>
          <w:szCs w:val="32"/>
          <w:highlight w:val="none"/>
        </w:rPr>
        <w:t>细则中明确</w:t>
      </w:r>
      <w:r>
        <w:rPr>
          <w:rFonts w:hint="eastAsia" w:ascii="Times New Roman" w:hAnsi="Times New Roman" w:eastAsia="方正仿宋_GBK" w:cs="Times New Roman"/>
          <w:b w:val="0"/>
          <w:bCs w:val="0"/>
          <w:color w:val="auto"/>
          <w:sz w:val="32"/>
          <w:szCs w:val="32"/>
          <w:highlight w:val="none"/>
          <w:lang w:val="en-US" w:eastAsia="zh-CN"/>
        </w:rPr>
        <w:t>价格机制</w:t>
      </w:r>
      <w:r>
        <w:rPr>
          <w:rFonts w:hint="eastAsia" w:ascii="Times New Roman" w:hAnsi="Times New Roman" w:eastAsia="方正仿宋_GBK" w:cs="Times New Roman"/>
          <w:b w:val="0"/>
          <w:bCs w:val="0"/>
          <w:color w:val="auto"/>
          <w:sz w:val="32"/>
          <w:szCs w:val="32"/>
          <w:highlight w:val="none"/>
        </w:rPr>
        <w:t>。</w:t>
      </w:r>
    </w:p>
    <w:p w14:paraId="7C2ACDFE">
      <w:pPr>
        <w:pageBreakBefore w:val="0"/>
        <w:numPr>
          <w:ilvl w:val="0"/>
          <w:numId w:val="4"/>
        </w:numPr>
        <w:kinsoku/>
        <w:wordWrap/>
        <w:overflowPunct/>
        <w:topLinePunct w:val="0"/>
        <w:autoSpaceDN/>
        <w:bidi w:val="0"/>
        <w:adjustRightInd w:val="0"/>
        <w:snapToGrid w:val="0"/>
        <w:spacing w:line="588" w:lineRule="exact"/>
        <w:ind w:left="0" w:firstLine="643" w:firstLineChars="0"/>
        <w:rPr>
          <w:rFonts w:hint="eastAsia" w:ascii="Times New Roman" w:hAnsi="Times New Roman" w:eastAsia="方正仿宋_GBK" w:cs="Times New Roman"/>
          <w:b w:val="0"/>
          <w:bCs w:val="0"/>
          <w:color w:val="auto"/>
          <w:sz w:val="32"/>
          <w:szCs w:val="32"/>
          <w:highlight w:val="none"/>
          <w:lang w:eastAsia="zh"/>
        </w:rPr>
      </w:pPr>
      <w:r>
        <w:rPr>
          <w:rFonts w:hint="eastAsia" w:ascii="Times New Roman" w:hAnsi="Times New Roman" w:eastAsia="方正仿宋_GBK" w:cs="Times New Roman"/>
          <w:b w:val="0"/>
          <w:bCs w:val="0"/>
          <w:color w:val="auto"/>
          <w:sz w:val="32"/>
          <w:szCs w:val="32"/>
          <w:highlight w:val="none"/>
        </w:rPr>
        <w:t>为避免市场操纵以及恶性竞争，</w:t>
      </w:r>
      <w:r>
        <w:rPr>
          <w:rFonts w:hint="eastAsia" w:ascii="Times New Roman" w:hAnsi="Times New Roman" w:eastAsia="方正仿宋_GBK" w:cs="Times New Roman"/>
          <w:b w:val="0"/>
          <w:bCs w:val="0"/>
          <w:strike w:val="0"/>
          <w:color w:val="auto"/>
          <w:sz w:val="32"/>
          <w:szCs w:val="32"/>
          <w:highlight w:val="none"/>
          <w:lang w:val="en-US" w:eastAsia="zh-CN"/>
        </w:rPr>
        <w:t>政府</w:t>
      </w:r>
      <w:r>
        <w:rPr>
          <w:rFonts w:hint="eastAsia" w:ascii="Times New Roman" w:hAnsi="Times New Roman" w:eastAsia="方正仿宋_GBK" w:cs="Times New Roman"/>
          <w:b w:val="0"/>
          <w:bCs w:val="0"/>
          <w:strike w:val="0"/>
          <w:color w:val="auto"/>
          <w:sz w:val="32"/>
          <w:szCs w:val="32"/>
          <w:highlight w:val="none"/>
          <w:lang w:val="en-US" w:eastAsia="zh-CN"/>
        </w:rPr>
        <w:t>价格</w:t>
      </w:r>
      <w:r>
        <w:rPr>
          <w:rFonts w:hint="eastAsia" w:ascii="Times New Roman" w:hAnsi="Times New Roman" w:eastAsia="方正仿宋_GBK" w:cs="Times New Roman"/>
          <w:b w:val="0"/>
          <w:bCs w:val="0"/>
          <w:strike w:val="0"/>
          <w:color w:val="auto"/>
          <w:sz w:val="32"/>
          <w:szCs w:val="32"/>
          <w:highlight w:val="none"/>
          <w:lang w:val="en-US" w:eastAsia="zh-CN"/>
        </w:rPr>
        <w:t>主管部门</w:t>
      </w:r>
      <w:r>
        <w:rPr>
          <w:rFonts w:hint="eastAsia" w:ascii="Times New Roman" w:hAnsi="Times New Roman" w:eastAsia="方正仿宋_GBK" w:cs="Times New Roman"/>
          <w:b w:val="0"/>
          <w:bCs w:val="0"/>
          <w:color w:val="auto"/>
          <w:sz w:val="32"/>
          <w:szCs w:val="32"/>
          <w:highlight w:val="none"/>
        </w:rPr>
        <w:t>可对</w:t>
      </w:r>
      <w:r>
        <w:rPr>
          <w:rFonts w:hint="eastAsia" w:ascii="Times New Roman" w:hAnsi="Times New Roman" w:eastAsia="方正仿宋_GBK" w:cs="Times New Roman"/>
          <w:b w:val="0"/>
          <w:bCs w:val="0"/>
          <w:color w:val="auto"/>
          <w:sz w:val="32"/>
          <w:szCs w:val="32"/>
          <w:highlight w:val="none"/>
          <w:lang w:eastAsia="zh-CN"/>
        </w:rPr>
        <w:t>申报价格</w:t>
      </w:r>
      <w:r>
        <w:rPr>
          <w:rFonts w:hint="eastAsia" w:ascii="Times New Roman" w:hAnsi="Times New Roman" w:eastAsia="方正仿宋_GBK" w:cs="Times New Roman"/>
          <w:b w:val="0"/>
          <w:bCs w:val="0"/>
          <w:color w:val="auto"/>
          <w:sz w:val="32"/>
          <w:szCs w:val="32"/>
          <w:highlight w:val="none"/>
          <w:lang w:val="en-US" w:eastAsia="zh-CN"/>
        </w:rPr>
        <w:t>和</w:t>
      </w:r>
      <w:r>
        <w:rPr>
          <w:rFonts w:hint="eastAsia" w:ascii="Times New Roman" w:hAnsi="Times New Roman" w:eastAsia="方正仿宋_GBK" w:cs="Times New Roman"/>
          <w:b w:val="0"/>
          <w:bCs w:val="0"/>
          <w:color w:val="auto"/>
          <w:sz w:val="32"/>
          <w:szCs w:val="32"/>
          <w:highlight w:val="none"/>
        </w:rPr>
        <w:t>出清价格设置上、下限</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价格上、下限</w:t>
      </w:r>
      <w:r>
        <w:rPr>
          <w:rFonts w:hint="eastAsia" w:ascii="Times New Roman" w:hAnsi="Times New Roman" w:eastAsia="方正仿宋_GBK" w:cs="Times New Roman"/>
          <w:b w:val="0"/>
          <w:bCs w:val="0"/>
          <w:color w:val="auto"/>
          <w:sz w:val="32"/>
          <w:szCs w:val="32"/>
          <w:highlight w:val="none"/>
          <w:lang w:eastAsia="zh-CN"/>
        </w:rPr>
        <w:t>可</w:t>
      </w:r>
      <w:r>
        <w:rPr>
          <w:rFonts w:hint="eastAsia" w:ascii="Times New Roman" w:hAnsi="Times New Roman" w:eastAsia="方正仿宋_GBK" w:cs="Times New Roman"/>
          <w:b w:val="0"/>
          <w:bCs w:val="0"/>
          <w:color w:val="auto"/>
          <w:sz w:val="32"/>
          <w:szCs w:val="32"/>
          <w:highlight w:val="none"/>
        </w:rPr>
        <w:t>由电力市场管理委员会</w:t>
      </w:r>
      <w:r>
        <w:rPr>
          <w:rFonts w:hint="eastAsia" w:ascii="Times New Roman" w:hAnsi="Times New Roman" w:eastAsia="方正仿宋_GBK" w:cs="Times New Roman"/>
          <w:b w:val="0"/>
          <w:bCs w:val="0"/>
          <w:color w:val="auto"/>
          <w:sz w:val="32"/>
          <w:szCs w:val="32"/>
          <w:highlight w:val="none"/>
          <w:lang w:eastAsia="zh-CN"/>
        </w:rPr>
        <w:t>提出</w:t>
      </w:r>
      <w:r>
        <w:rPr>
          <w:rFonts w:hint="eastAsia" w:ascii="Times New Roman" w:hAnsi="Times New Roman" w:eastAsia="方正仿宋_GBK" w:cs="Times New Roman"/>
          <w:b w:val="0"/>
          <w:bCs w:val="0"/>
          <w:color w:val="auto"/>
          <w:sz w:val="32"/>
          <w:szCs w:val="32"/>
          <w:highlight w:val="none"/>
          <w:lang w:val="en-US" w:eastAsia="zh-CN"/>
        </w:rPr>
        <w:t>建议</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eastAsia="zh-CN"/>
        </w:rPr>
        <w:t>报政府价格</w:t>
      </w:r>
      <w:r>
        <w:rPr>
          <w:rFonts w:hint="eastAsia" w:ascii="Times New Roman" w:hAnsi="Times New Roman" w:eastAsia="方正仿宋_GBK" w:cs="Times New Roman"/>
          <w:b w:val="0"/>
          <w:bCs w:val="0"/>
          <w:color w:val="auto"/>
          <w:sz w:val="32"/>
          <w:szCs w:val="32"/>
          <w:highlight w:val="none"/>
          <w:u w:val="none"/>
          <w:lang w:val="en-US" w:eastAsia="zh-CN"/>
        </w:rPr>
        <w:t>主管</w:t>
      </w:r>
      <w:r>
        <w:rPr>
          <w:rFonts w:hint="eastAsia" w:ascii="Times New Roman" w:hAnsi="Times New Roman" w:eastAsia="方正仿宋_GBK" w:cs="Times New Roman"/>
          <w:b w:val="0"/>
          <w:bCs w:val="0"/>
          <w:color w:val="auto"/>
          <w:sz w:val="32"/>
          <w:szCs w:val="32"/>
          <w:highlight w:val="none"/>
          <w:u w:val="none"/>
        </w:rPr>
        <w:t>部门</w:t>
      </w:r>
      <w:r>
        <w:rPr>
          <w:rFonts w:hint="eastAsia" w:ascii="Times New Roman" w:hAnsi="Times New Roman" w:eastAsia="方正仿宋_GBK" w:cs="Times New Roman"/>
          <w:b w:val="0"/>
          <w:bCs w:val="0"/>
          <w:color w:val="auto"/>
          <w:sz w:val="32"/>
          <w:szCs w:val="32"/>
          <w:highlight w:val="none"/>
          <w:u w:val="none"/>
          <w:lang w:eastAsia="zh-CN"/>
        </w:rPr>
        <w:t>会同能源、电力运行主管部门</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lang w:val="en-US" w:eastAsia="zh-CN"/>
        </w:rPr>
        <w:t>电力监管机构</w:t>
      </w:r>
      <w:r>
        <w:rPr>
          <w:rFonts w:hint="eastAsia" w:ascii="Times New Roman" w:hAnsi="Times New Roman" w:eastAsia="方正仿宋_GBK" w:cs="Times New Roman"/>
          <w:b w:val="0"/>
          <w:bCs w:val="0"/>
          <w:color w:val="auto"/>
          <w:sz w:val="32"/>
          <w:szCs w:val="32"/>
          <w:highlight w:val="none"/>
        </w:rPr>
        <w:t>审定</w:t>
      </w:r>
      <w:r>
        <w:rPr>
          <w:rFonts w:hint="eastAsia" w:ascii="Times New Roman" w:hAnsi="Times New Roman" w:eastAsia="方正仿宋_GBK" w:cs="Times New Roman"/>
          <w:b w:val="0"/>
          <w:bCs w:val="0"/>
          <w:color w:val="auto"/>
          <w:sz w:val="32"/>
          <w:szCs w:val="32"/>
          <w:highlight w:val="none"/>
          <w:lang w:eastAsia="zh-CN"/>
        </w:rPr>
        <w:t>。</w:t>
      </w:r>
    </w:p>
    <w:p w14:paraId="4DACC7B8">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val="en-US" w:eastAsia="zh"/>
        </w:rPr>
      </w:pPr>
      <w:bookmarkStart w:id="95" w:name="_Toc29353"/>
      <w:bookmarkStart w:id="96" w:name="_Toc29856"/>
      <w:bookmarkStart w:id="97" w:name="_Toc28395"/>
      <w:bookmarkStart w:id="98" w:name="_Toc1768320689"/>
      <w:bookmarkStart w:id="99" w:name="_Toc8565"/>
      <w:bookmarkStart w:id="100" w:name="_Toc17160"/>
      <w:bookmarkStart w:id="101" w:name="_Toc26412"/>
      <w:bookmarkStart w:id="102" w:name="_Toc18214"/>
      <w:bookmarkStart w:id="103" w:name="_Toc31685"/>
      <w:bookmarkStart w:id="104" w:name="_Toc22758"/>
      <w:bookmarkStart w:id="105" w:name="_Toc555916380"/>
      <w:bookmarkStart w:id="106" w:name="_Toc872087579"/>
      <w:bookmarkStart w:id="107" w:name="_Toc503017148"/>
      <w:bookmarkStart w:id="108" w:name="_Toc32171"/>
      <w:r>
        <w:rPr>
          <w:rFonts w:hint="eastAsia" w:ascii="Times New Roman" w:hAnsi="Times New Roman" w:eastAsia="黑体" w:cs="Times New Roman"/>
          <w:b w:val="0"/>
          <w:bCs w:val="0"/>
          <w:color w:val="auto"/>
          <w:sz w:val="32"/>
          <w:szCs w:val="32"/>
          <w:highlight w:val="none"/>
          <w:lang w:eastAsia="zh"/>
        </w:rPr>
        <w:t>第</w:t>
      </w:r>
      <w:r>
        <w:rPr>
          <w:rFonts w:hint="eastAsia" w:ascii="Times New Roman" w:hAnsi="Times New Roman" w:eastAsia="黑体" w:cs="Times New Roman"/>
          <w:b w:val="0"/>
          <w:bCs w:val="0"/>
          <w:color w:val="auto"/>
          <w:sz w:val="32"/>
          <w:szCs w:val="32"/>
          <w:highlight w:val="none"/>
          <w:lang w:val="en-US" w:eastAsia="zh-CN"/>
        </w:rPr>
        <w:t>五</w:t>
      </w:r>
      <w:r>
        <w:rPr>
          <w:rFonts w:hint="eastAsia" w:ascii="Times New Roman" w:hAnsi="Times New Roman" w:eastAsia="黑体" w:cs="Times New Roman"/>
          <w:b w:val="0"/>
          <w:bCs w:val="0"/>
          <w:color w:val="auto"/>
          <w:sz w:val="32"/>
          <w:szCs w:val="32"/>
          <w:highlight w:val="none"/>
          <w:lang w:eastAsia="zh"/>
        </w:rPr>
        <w:t xml:space="preserve">章 </w:t>
      </w:r>
      <w:bookmarkEnd w:id="95"/>
      <w:bookmarkEnd w:id="96"/>
      <w:bookmarkEnd w:id="97"/>
      <w:bookmarkEnd w:id="98"/>
      <w:bookmarkEnd w:id="99"/>
      <w:bookmarkEnd w:id="100"/>
      <w:bookmarkEnd w:id="101"/>
      <w:bookmarkEnd w:id="102"/>
      <w:r>
        <w:rPr>
          <w:rFonts w:hint="eastAsia" w:ascii="Times New Roman" w:hAnsi="Times New Roman" w:eastAsia="黑体" w:cs="Times New Roman"/>
          <w:b w:val="0"/>
          <w:bCs w:val="0"/>
          <w:color w:val="auto"/>
          <w:sz w:val="32"/>
          <w:szCs w:val="32"/>
          <w:highlight w:val="none"/>
          <w:lang w:val="en-US" w:eastAsia="zh"/>
        </w:rPr>
        <w:t>交易组织</w:t>
      </w:r>
      <w:bookmarkEnd w:id="103"/>
      <w:bookmarkEnd w:id="104"/>
      <w:bookmarkEnd w:id="105"/>
      <w:bookmarkEnd w:id="106"/>
      <w:bookmarkEnd w:id="107"/>
      <w:bookmarkEnd w:id="108"/>
    </w:p>
    <w:p w14:paraId="75F745FA">
      <w:pPr>
        <w:pStyle w:val="2"/>
        <w:widowControl/>
        <w:adjustRightInd w:val="0"/>
        <w:snapToGrid w:val="0"/>
        <w:spacing w:line="588" w:lineRule="exact"/>
        <w:ind w:firstLineChars="0"/>
        <w:jc w:val="center"/>
        <w:rPr>
          <w:rFonts w:hint="eastAsia" w:ascii="Times New Roman" w:hAnsi="Times New Roman" w:eastAsia="方正楷体_GBK" w:cs="Times New Roman"/>
          <w:b w:val="0"/>
          <w:bCs w:val="0"/>
          <w:color w:val="auto"/>
          <w:sz w:val="32"/>
          <w:szCs w:val="32"/>
          <w:highlight w:val="none"/>
          <w:lang w:val="en-US" w:eastAsia="zh-CN"/>
        </w:rPr>
      </w:pPr>
      <w:bookmarkStart w:id="109" w:name="_Toc15677"/>
      <w:bookmarkStart w:id="110" w:name="_Toc18256"/>
      <w:bookmarkStart w:id="111" w:name="_Toc16456"/>
      <w:bookmarkStart w:id="112" w:name="_Toc9776"/>
      <w:bookmarkStart w:id="113" w:name="_Toc18692"/>
      <w:bookmarkStart w:id="114" w:name="_Toc710451838"/>
      <w:bookmarkStart w:id="115" w:name="_Toc18975"/>
      <w:bookmarkStart w:id="116" w:name="_Toc2041512792"/>
      <w:bookmarkStart w:id="117" w:name="_Toc3137"/>
      <w:bookmarkStart w:id="118" w:name="_Toc20983"/>
      <w:bookmarkStart w:id="119" w:name="_Toc1788791979"/>
      <w:bookmarkStart w:id="120" w:name="_Toc1783541148"/>
      <w:bookmarkStart w:id="121" w:name="_Toc19464"/>
      <w:bookmarkStart w:id="122" w:name="_Toc28837"/>
      <w:r>
        <w:rPr>
          <w:rFonts w:hint="eastAsia" w:ascii="Times New Roman" w:hAnsi="Times New Roman" w:eastAsia="方正楷体_GBK" w:cs="Times New Roman"/>
          <w:b w:val="0"/>
          <w:bCs w:val="0"/>
          <w:color w:val="auto"/>
          <w:sz w:val="32"/>
          <w:szCs w:val="32"/>
          <w:highlight w:val="none"/>
        </w:rPr>
        <w:t xml:space="preserve">第一节 </w:t>
      </w:r>
      <w:bookmarkEnd w:id="109"/>
      <w:bookmarkEnd w:id="110"/>
      <w:bookmarkEnd w:id="111"/>
      <w:bookmarkEnd w:id="112"/>
      <w:bookmarkEnd w:id="113"/>
      <w:bookmarkEnd w:id="114"/>
      <w:r>
        <w:rPr>
          <w:rFonts w:hint="eastAsia" w:ascii="Times New Roman" w:hAnsi="Times New Roman" w:eastAsia="方正楷体_GBK" w:cs="Times New Roman"/>
          <w:b w:val="0"/>
          <w:bCs w:val="0"/>
          <w:color w:val="auto"/>
          <w:sz w:val="32"/>
          <w:szCs w:val="32"/>
          <w:highlight w:val="none"/>
          <w:lang w:val="en-US" w:eastAsia="zh-CN"/>
        </w:rPr>
        <w:t>基本要求</w:t>
      </w:r>
      <w:bookmarkEnd w:id="115"/>
      <w:bookmarkEnd w:id="116"/>
      <w:bookmarkEnd w:id="117"/>
      <w:bookmarkEnd w:id="118"/>
      <w:bookmarkEnd w:id="119"/>
      <w:bookmarkEnd w:id="120"/>
      <w:bookmarkEnd w:id="121"/>
      <w:bookmarkEnd w:id="122"/>
    </w:p>
    <w:p w14:paraId="467895EC">
      <w:pPr>
        <w:numPr>
          <w:ilvl w:val="0"/>
          <w:numId w:val="4"/>
        </w:numPr>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跨经营区电力中长期交易由北京电力交易中心、广州电力交易中心联合组织，</w:t>
      </w:r>
      <w:r>
        <w:rPr>
          <w:rFonts w:hint="eastAsia" w:ascii="Times New Roman" w:hAnsi="Times New Roman" w:eastAsia="方正仿宋_GBK" w:cs="Times New Roman"/>
          <w:b w:val="0"/>
          <w:bCs w:val="0"/>
          <w:color w:val="auto"/>
          <w:sz w:val="32"/>
          <w:szCs w:val="32"/>
          <w:highlight w:val="none"/>
          <w:lang w:eastAsia="zh-CN"/>
        </w:rPr>
        <w:t>跨省跨区</w:t>
      </w:r>
      <w:r>
        <w:rPr>
          <w:rFonts w:hint="eastAsia" w:ascii="Times New Roman" w:hAnsi="Times New Roman" w:eastAsia="方正仿宋_GBK" w:cs="Times New Roman"/>
          <w:b w:val="0"/>
          <w:bCs w:val="0"/>
          <w:color w:val="auto"/>
          <w:sz w:val="32"/>
          <w:szCs w:val="32"/>
          <w:highlight w:val="none"/>
          <w:lang w:val="en-US" w:eastAsia="zh-CN"/>
        </w:rPr>
        <w:t>电力中长期交易由北京电力交易中心、广州电力交易中心按照经营区组织开展，省内电力中长期交易由各省（区、市）电力交易机构组织开展。鼓励探索</w:t>
      </w:r>
      <w:r>
        <w:rPr>
          <w:rFonts w:hint="eastAsia" w:ascii="Times New Roman" w:hAnsi="Times New Roman" w:eastAsia="方正仿宋_GBK" w:cs="Times New Roman"/>
          <w:b w:val="0"/>
          <w:bCs w:val="0"/>
          <w:color w:val="auto"/>
          <w:sz w:val="32"/>
          <w:szCs w:val="32"/>
          <w:highlight w:val="none"/>
        </w:rPr>
        <w:t>跨省跨区</w:t>
      </w:r>
      <w:r>
        <w:rPr>
          <w:rFonts w:hint="eastAsia" w:ascii="Times New Roman" w:hAnsi="Times New Roman" w:eastAsia="方正仿宋_GBK" w:cs="Times New Roman"/>
          <w:b w:val="0"/>
          <w:bCs w:val="0"/>
          <w:color w:val="auto"/>
          <w:sz w:val="32"/>
          <w:szCs w:val="32"/>
          <w:highlight w:val="none"/>
          <w:lang w:val="en-US" w:eastAsia="zh-CN"/>
        </w:rPr>
        <w:t>电力中长期交易</w:t>
      </w:r>
      <w:r>
        <w:rPr>
          <w:rFonts w:hint="eastAsia" w:ascii="Times New Roman" w:hAnsi="Times New Roman" w:eastAsia="方正仿宋_GBK" w:cs="Times New Roman"/>
          <w:b w:val="0"/>
          <w:bCs w:val="0"/>
          <w:color w:val="auto"/>
          <w:sz w:val="32"/>
          <w:szCs w:val="32"/>
          <w:highlight w:val="none"/>
        </w:rPr>
        <w:t>与省内</w:t>
      </w:r>
      <w:r>
        <w:rPr>
          <w:rFonts w:hint="eastAsia" w:ascii="Times New Roman" w:hAnsi="Times New Roman" w:eastAsia="方正仿宋_GBK" w:cs="Times New Roman"/>
          <w:b w:val="0"/>
          <w:bCs w:val="0"/>
          <w:color w:val="auto"/>
          <w:sz w:val="32"/>
          <w:szCs w:val="32"/>
          <w:highlight w:val="none"/>
          <w:lang w:val="en-US" w:eastAsia="zh-CN"/>
        </w:rPr>
        <w:t>电力中长期交易</w:t>
      </w:r>
      <w:r>
        <w:rPr>
          <w:rFonts w:hint="eastAsia" w:ascii="Times New Roman" w:hAnsi="Times New Roman" w:eastAsia="方正仿宋_GBK" w:cs="Times New Roman"/>
          <w:b w:val="0"/>
          <w:bCs w:val="0"/>
          <w:color w:val="auto"/>
          <w:sz w:val="32"/>
          <w:szCs w:val="32"/>
          <w:highlight w:val="none"/>
        </w:rPr>
        <w:t>联合组织。</w:t>
      </w:r>
    </w:p>
    <w:p w14:paraId="78CCB0CF">
      <w:pPr>
        <w:numPr>
          <w:ilvl w:val="0"/>
          <w:numId w:val="4"/>
        </w:numPr>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CN"/>
        </w:rPr>
        <w:t>电力中长期市场应按日连续运营，技</w:t>
      </w:r>
      <w:r>
        <w:rPr>
          <w:rFonts w:hint="eastAsia" w:ascii="Times New Roman" w:hAnsi="Times New Roman" w:eastAsia="方正仿宋_GBK" w:cs="Times New Roman"/>
          <w:b w:val="0"/>
          <w:bCs w:val="0"/>
          <w:color w:val="auto"/>
          <w:sz w:val="32"/>
          <w:szCs w:val="32"/>
          <w:highlight w:val="none"/>
          <w:lang w:eastAsia="zh-CN"/>
        </w:rPr>
        <w:t>术支持系统功能、市场运营</w:t>
      </w:r>
      <w:r>
        <w:rPr>
          <w:rFonts w:hint="eastAsia" w:ascii="Times New Roman" w:hAnsi="Times New Roman" w:eastAsia="方正仿宋_GBK" w:cs="Times New Roman"/>
          <w:b w:val="0"/>
          <w:bCs w:val="0"/>
          <w:color w:val="auto"/>
          <w:sz w:val="32"/>
          <w:szCs w:val="32"/>
          <w:highlight w:val="none"/>
          <w:lang w:val="en-US" w:eastAsia="zh-CN"/>
        </w:rPr>
        <w:t>人员配置</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包括交易</w:t>
      </w:r>
      <w:r>
        <w:rPr>
          <w:rFonts w:hint="eastAsia" w:ascii="Times New Roman" w:hAnsi="Times New Roman" w:eastAsia="方正仿宋_GBK" w:cs="Times New Roman"/>
          <w:b w:val="0"/>
          <w:bCs w:val="0"/>
          <w:color w:val="auto"/>
          <w:sz w:val="32"/>
          <w:szCs w:val="32"/>
          <w:highlight w:val="none"/>
          <w:lang w:eastAsia="zh-CN"/>
        </w:rPr>
        <w:t>组织、</w:t>
      </w:r>
      <w:r>
        <w:rPr>
          <w:rFonts w:hint="eastAsia" w:ascii="Times New Roman" w:hAnsi="Times New Roman" w:eastAsia="方正仿宋_GBK" w:cs="Times New Roman"/>
          <w:b w:val="0"/>
          <w:bCs w:val="0"/>
          <w:strike w:val="0"/>
          <w:color w:val="auto"/>
          <w:sz w:val="32"/>
          <w:szCs w:val="32"/>
          <w:highlight w:val="none"/>
          <w:lang w:val="en-US" w:eastAsia="zh-CN"/>
        </w:rPr>
        <w:t>交易</w:t>
      </w:r>
      <w:r>
        <w:rPr>
          <w:rFonts w:hint="eastAsia" w:ascii="Times New Roman" w:hAnsi="Times New Roman" w:eastAsia="方正仿宋_GBK" w:cs="Times New Roman"/>
          <w:b w:val="0"/>
          <w:bCs w:val="0"/>
          <w:strike w:val="0"/>
          <w:color w:val="auto"/>
          <w:sz w:val="32"/>
          <w:szCs w:val="32"/>
          <w:highlight w:val="none"/>
          <w:lang w:eastAsia="zh-CN"/>
        </w:rPr>
        <w:t>结算</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eastAsia="zh-CN"/>
        </w:rPr>
        <w:t>市场</w:t>
      </w:r>
      <w:r>
        <w:rPr>
          <w:rFonts w:hint="eastAsia" w:ascii="Times New Roman" w:hAnsi="Times New Roman" w:eastAsia="方正仿宋_GBK" w:cs="Times New Roman"/>
          <w:b w:val="0"/>
          <w:bCs w:val="0"/>
          <w:color w:val="auto"/>
          <w:sz w:val="32"/>
          <w:szCs w:val="32"/>
          <w:highlight w:val="none"/>
          <w:lang w:val="en-US" w:eastAsia="zh-CN"/>
        </w:rPr>
        <w:t>注册、</w:t>
      </w:r>
      <w:r>
        <w:rPr>
          <w:rFonts w:hint="eastAsia" w:ascii="Times New Roman" w:hAnsi="Times New Roman" w:eastAsia="方正仿宋_GBK" w:cs="Times New Roman"/>
          <w:b w:val="0"/>
          <w:bCs w:val="0"/>
          <w:color w:val="auto"/>
          <w:sz w:val="32"/>
          <w:szCs w:val="32"/>
          <w:highlight w:val="none"/>
        </w:rPr>
        <w:t>运营监测</w:t>
      </w:r>
      <w:r>
        <w:rPr>
          <w:rFonts w:hint="eastAsia" w:ascii="Times New Roman" w:hAnsi="Times New Roman" w:eastAsia="方正仿宋_GBK" w:cs="Times New Roman"/>
          <w:b w:val="0"/>
          <w:bCs w:val="0"/>
          <w:color w:val="auto"/>
          <w:sz w:val="32"/>
          <w:szCs w:val="32"/>
          <w:highlight w:val="none"/>
          <w:lang w:eastAsia="zh-CN"/>
        </w:rPr>
        <w:t>、技术保障</w:t>
      </w:r>
      <w:r>
        <w:rPr>
          <w:rFonts w:hint="eastAsia" w:ascii="Times New Roman" w:hAnsi="Times New Roman" w:eastAsia="方正仿宋_GBK" w:cs="Times New Roman"/>
          <w:b w:val="0"/>
          <w:bCs w:val="0"/>
          <w:color w:val="auto"/>
          <w:sz w:val="32"/>
          <w:szCs w:val="32"/>
          <w:highlight w:val="none"/>
          <w:lang w:val="en-US" w:eastAsia="zh-CN"/>
        </w:rPr>
        <w:t>等人员</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须</w:t>
      </w:r>
      <w:r>
        <w:rPr>
          <w:rFonts w:hint="eastAsia" w:ascii="Times New Roman" w:hAnsi="Times New Roman" w:eastAsia="方正仿宋_GBK" w:cs="Times New Roman"/>
          <w:b w:val="0"/>
          <w:bCs w:val="0"/>
          <w:color w:val="auto"/>
          <w:sz w:val="32"/>
          <w:szCs w:val="32"/>
          <w:highlight w:val="none"/>
          <w:lang w:eastAsia="zh-CN"/>
        </w:rPr>
        <w:t>符合</w:t>
      </w:r>
      <w:r>
        <w:rPr>
          <w:rFonts w:hint="eastAsia" w:ascii="Times New Roman" w:hAnsi="Times New Roman" w:eastAsia="仿宋" w:cs="Times New Roman"/>
          <w:b w:val="0"/>
          <w:bCs w:val="0"/>
          <w:color w:val="auto"/>
          <w:kern w:val="2"/>
          <w:sz w:val="32"/>
          <w:szCs w:val="32"/>
          <w:highlight w:val="none"/>
          <w:lang w:val="en-US" w:eastAsia="zh-CN"/>
        </w:rPr>
        <w:t>按日连续运营</w:t>
      </w:r>
      <w:r>
        <w:rPr>
          <w:rFonts w:hint="eastAsia" w:ascii="Times New Roman" w:hAnsi="Times New Roman" w:eastAsia="方正仿宋_GBK" w:cs="Times New Roman"/>
          <w:b w:val="0"/>
          <w:bCs w:val="0"/>
          <w:color w:val="auto"/>
          <w:sz w:val="32"/>
          <w:szCs w:val="32"/>
          <w:highlight w:val="none"/>
          <w:lang w:eastAsia="zh-CN"/>
        </w:rPr>
        <w:t>要求。</w:t>
      </w:r>
    </w:p>
    <w:p w14:paraId="1D3AC081">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shd w:val="clear" w:fill="auto"/>
        </w:rPr>
      </w:pPr>
      <w:r>
        <w:rPr>
          <w:rFonts w:hint="eastAsia" w:ascii="Times New Roman" w:hAnsi="Times New Roman" w:eastAsia="方正仿宋_GBK" w:cs="Times New Roman"/>
          <w:b w:val="0"/>
          <w:bCs w:val="0"/>
          <w:color w:val="auto"/>
          <w:sz w:val="32"/>
          <w:szCs w:val="32"/>
          <w:highlight w:val="none"/>
          <w:shd w:val="clear" w:color="auto" w:fill="auto"/>
          <w:lang w:eastAsia="zh-CN"/>
        </w:rPr>
        <w:t>电力交易机构应按</w:t>
      </w:r>
      <w:r>
        <w:rPr>
          <w:rFonts w:hint="eastAsia" w:ascii="Times New Roman" w:hAnsi="Times New Roman" w:eastAsia="方正仿宋_GBK" w:cs="Times New Roman"/>
          <w:b w:val="0"/>
          <w:bCs w:val="0"/>
          <w:color w:val="auto"/>
          <w:sz w:val="32"/>
          <w:szCs w:val="32"/>
          <w:highlight w:val="none"/>
          <w:shd w:val="clear" w:color="auto" w:fill="auto"/>
          <w:lang w:val="en-US" w:eastAsia="zh-CN"/>
        </w:rPr>
        <w:t>月</w:t>
      </w:r>
      <w:r>
        <w:rPr>
          <w:rFonts w:hint="eastAsia" w:ascii="Times New Roman" w:hAnsi="Times New Roman" w:eastAsia="方正仿宋_GBK" w:cs="Times New Roman"/>
          <w:b w:val="0"/>
          <w:bCs w:val="0"/>
          <w:color w:val="auto"/>
          <w:sz w:val="32"/>
          <w:szCs w:val="32"/>
          <w:highlight w:val="none"/>
          <w:shd w:val="clear" w:color="auto" w:fill="auto"/>
          <w:lang w:eastAsia="zh-CN"/>
        </w:rPr>
        <w:t>发布交易日历，明确各类交易申报、出清等时间</w:t>
      </w:r>
      <w:r>
        <w:rPr>
          <w:rFonts w:hint="eastAsia" w:ascii="Times New Roman" w:hAnsi="Times New Roman" w:eastAsia="方正仿宋_GBK" w:cs="Times New Roman"/>
          <w:b w:val="0"/>
          <w:bCs w:val="0"/>
          <w:color w:val="auto"/>
          <w:sz w:val="32"/>
          <w:szCs w:val="32"/>
          <w:highlight w:val="none"/>
          <w:shd w:val="clear" w:color="auto" w:fill="auto"/>
          <w:lang w:val="en-US" w:eastAsia="zh-CN"/>
        </w:rPr>
        <w:t>或时间</w:t>
      </w:r>
      <w:r>
        <w:rPr>
          <w:rFonts w:hint="eastAsia" w:ascii="Times New Roman" w:hAnsi="Times New Roman" w:eastAsia="方正仿宋_GBK" w:cs="Times New Roman"/>
          <w:b w:val="0"/>
          <w:bCs w:val="0"/>
          <w:color w:val="auto"/>
          <w:sz w:val="32"/>
          <w:szCs w:val="32"/>
          <w:highlight w:val="none"/>
          <w:shd w:val="clear" w:color="auto" w:fill="auto"/>
          <w:lang w:eastAsia="zh-CN"/>
        </w:rPr>
        <w:t>安排原则。</w:t>
      </w:r>
    </w:p>
    <w:p w14:paraId="7334384A">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shd w:val="clear" w:color="auto"/>
          <w:lang w:val="en-US" w:eastAsia="zh-CN"/>
        </w:rPr>
        <w:t>交易公告由电力</w:t>
      </w:r>
      <w:r>
        <w:rPr>
          <w:rFonts w:hint="eastAsia" w:ascii="Times New Roman" w:hAnsi="Times New Roman" w:eastAsia="方正仿宋_GBK" w:cs="Times New Roman"/>
          <w:b w:val="0"/>
          <w:bCs w:val="0"/>
          <w:color w:val="auto"/>
          <w:sz w:val="32"/>
          <w:szCs w:val="32"/>
          <w:highlight w:val="none"/>
          <w:shd w:val="clear" w:color="auto"/>
        </w:rPr>
        <w:t>交易机构</w:t>
      </w:r>
      <w:r>
        <w:rPr>
          <w:rFonts w:hint="eastAsia" w:ascii="Times New Roman" w:hAnsi="Times New Roman" w:eastAsia="方正仿宋_GBK" w:cs="Times New Roman"/>
          <w:b w:val="0"/>
          <w:bCs w:val="0"/>
          <w:color w:val="auto"/>
          <w:sz w:val="32"/>
          <w:szCs w:val="32"/>
          <w:highlight w:val="none"/>
          <w:shd w:val="clear" w:color="auto"/>
          <w:lang w:val="en-US" w:eastAsia="zh-CN"/>
        </w:rPr>
        <w:t>按照交易日历安排</w:t>
      </w:r>
      <w:r>
        <w:rPr>
          <w:rFonts w:hint="eastAsia" w:ascii="Times New Roman" w:hAnsi="Times New Roman" w:eastAsia="方正仿宋_GBK" w:cs="Times New Roman"/>
          <w:b w:val="0"/>
          <w:bCs w:val="0"/>
          <w:color w:val="auto"/>
          <w:sz w:val="32"/>
          <w:szCs w:val="32"/>
          <w:highlight w:val="none"/>
          <w:shd w:val="clear" w:color="auto"/>
        </w:rPr>
        <w:t>向相关经营主体</w:t>
      </w:r>
      <w:r>
        <w:rPr>
          <w:rFonts w:hint="eastAsia" w:ascii="Times New Roman" w:hAnsi="Times New Roman" w:eastAsia="方正仿宋_GBK" w:cs="Times New Roman"/>
          <w:b w:val="0"/>
          <w:bCs w:val="0"/>
          <w:color w:val="auto"/>
          <w:sz w:val="32"/>
          <w:szCs w:val="32"/>
          <w:highlight w:val="none"/>
          <w:shd w:val="clear" w:color="auto"/>
          <w:lang w:val="en-US" w:eastAsia="zh-CN"/>
        </w:rPr>
        <w:t>发布，</w:t>
      </w:r>
      <w:r>
        <w:rPr>
          <w:rFonts w:hint="eastAsia" w:ascii="Times New Roman" w:hAnsi="Times New Roman" w:eastAsia="方正仿宋_GBK" w:cs="Times New Roman"/>
          <w:b w:val="0"/>
          <w:bCs w:val="0"/>
          <w:color w:val="auto"/>
          <w:sz w:val="32"/>
          <w:szCs w:val="32"/>
          <w:highlight w:val="none"/>
          <w:shd w:val="clear" w:color="auto" w:fill="auto"/>
        </w:rPr>
        <w:t>公告内容包括：交易品种、交易主体、交易方式、交易申报时间、交易合同执行开始时间及终止时间、交易参数、出清方式、交易约束信息、交易操作说明、其他准备信息等必要信息</w:t>
      </w:r>
      <w:r>
        <w:rPr>
          <w:rFonts w:hint="eastAsia" w:ascii="Times New Roman" w:hAnsi="Times New Roman" w:eastAsia="方正仿宋_GBK" w:cs="Times New Roman"/>
          <w:b w:val="0"/>
          <w:bCs w:val="0"/>
          <w:color w:val="auto"/>
          <w:sz w:val="32"/>
          <w:szCs w:val="32"/>
          <w:highlight w:val="none"/>
          <w:shd w:val="clear" w:color="auto" w:fill="auto"/>
          <w:lang w:eastAsia="zh-CN"/>
        </w:rPr>
        <w:t>。</w:t>
      </w:r>
    </w:p>
    <w:p w14:paraId="15062FD5">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仿宋" w:cs="Times New Roman"/>
          <w:b w:val="0"/>
          <w:bCs w:val="0"/>
          <w:color w:val="auto"/>
          <w:sz w:val="32"/>
          <w:szCs w:val="32"/>
          <w:highlight w:val="none"/>
          <w:shd w:val="clear" w:color="auto"/>
          <w:lang w:val="en-US" w:eastAsia="zh-CN"/>
        </w:rPr>
      </w:pPr>
      <w:r>
        <w:rPr>
          <w:rFonts w:hint="eastAsia" w:ascii="Times New Roman" w:hAnsi="Times New Roman" w:eastAsia="仿宋" w:cs="Times New Roman"/>
          <w:b w:val="0"/>
          <w:bCs w:val="0"/>
          <w:color w:val="auto"/>
          <w:sz w:val="32"/>
          <w:szCs w:val="32"/>
          <w:highlight w:val="none"/>
          <w:shd w:val="clear" w:color="auto"/>
        </w:rPr>
        <w:t>原则上</w:t>
      </w:r>
      <w:r>
        <w:rPr>
          <w:rFonts w:hint="eastAsia" w:ascii="Times New Roman" w:hAnsi="Times New Roman" w:eastAsia="仿宋" w:cs="Times New Roman"/>
          <w:b w:val="0"/>
          <w:bCs w:val="0"/>
          <w:color w:val="auto"/>
          <w:sz w:val="32"/>
          <w:szCs w:val="32"/>
          <w:highlight w:val="none"/>
          <w:shd w:val="clear" w:color="auto"/>
          <w:lang w:eastAsia="zh-CN"/>
        </w:rPr>
        <w:t>，数年、年度等不定期开市的电力中长期交易，交易公告应在交易申报前至少3个工作日发布，</w:t>
      </w:r>
      <w:r>
        <w:rPr>
          <w:rFonts w:hint="eastAsia" w:ascii="Times New Roman" w:hAnsi="Times New Roman" w:eastAsia="仿宋" w:cs="Times New Roman"/>
          <w:b w:val="0"/>
          <w:bCs w:val="0"/>
          <w:color w:val="auto"/>
          <w:sz w:val="32"/>
          <w:szCs w:val="32"/>
          <w:highlight w:val="none"/>
          <w:shd w:val="clear" w:color="auto"/>
          <w:lang w:val="en-US" w:eastAsia="zh-CN"/>
        </w:rPr>
        <w:t>月度等定期开市的电力中长期交易</w:t>
      </w:r>
      <w:r>
        <w:rPr>
          <w:rFonts w:hint="eastAsia" w:ascii="Times New Roman" w:hAnsi="Times New Roman" w:eastAsia="仿宋" w:cs="Times New Roman"/>
          <w:b w:val="0"/>
          <w:bCs w:val="0"/>
          <w:color w:val="auto"/>
          <w:sz w:val="32"/>
          <w:szCs w:val="32"/>
          <w:highlight w:val="none"/>
          <w:shd w:val="clear" w:color="auto"/>
          <w:lang w:eastAsia="zh-CN"/>
        </w:rPr>
        <w:t>，</w:t>
      </w:r>
      <w:r>
        <w:rPr>
          <w:rFonts w:hint="eastAsia" w:ascii="Times New Roman" w:hAnsi="Times New Roman" w:eastAsia="仿宋" w:cs="Times New Roman"/>
          <w:b w:val="0"/>
          <w:bCs w:val="0"/>
          <w:color w:val="auto"/>
          <w:sz w:val="32"/>
          <w:szCs w:val="32"/>
          <w:highlight w:val="none"/>
          <w:shd w:val="clear" w:color="auto"/>
          <w:lang w:val="en-US" w:eastAsia="zh-CN"/>
        </w:rPr>
        <w:t>交易</w:t>
      </w:r>
      <w:r>
        <w:rPr>
          <w:rFonts w:hint="eastAsia" w:ascii="Times New Roman" w:hAnsi="Times New Roman" w:eastAsia="仿宋" w:cs="Times New Roman"/>
          <w:b w:val="0"/>
          <w:bCs w:val="0"/>
          <w:color w:val="auto"/>
          <w:sz w:val="32"/>
          <w:szCs w:val="32"/>
          <w:highlight w:val="none"/>
          <w:shd w:val="clear" w:color="auto"/>
        </w:rPr>
        <w:t>公告应在交易申报前至少1个工作日发布</w:t>
      </w:r>
      <w:r>
        <w:rPr>
          <w:rFonts w:hint="eastAsia" w:ascii="Times New Roman" w:hAnsi="Times New Roman" w:eastAsia="仿宋" w:cs="Times New Roman"/>
          <w:b w:val="0"/>
          <w:bCs w:val="0"/>
          <w:color w:val="auto"/>
          <w:sz w:val="32"/>
          <w:szCs w:val="32"/>
          <w:highlight w:val="none"/>
          <w:shd w:val="clear" w:color="auto"/>
          <w:lang w:eastAsia="zh-CN"/>
        </w:rPr>
        <w:t>，</w:t>
      </w:r>
      <w:r>
        <w:rPr>
          <w:rFonts w:hint="eastAsia" w:ascii="Times New Roman" w:hAnsi="Times New Roman" w:eastAsia="仿宋" w:cs="Times New Roman"/>
          <w:b w:val="0"/>
          <w:bCs w:val="0"/>
          <w:color w:val="auto"/>
          <w:sz w:val="32"/>
          <w:szCs w:val="32"/>
          <w:highlight w:val="none"/>
          <w:shd w:val="clear" w:color="auto"/>
          <w:lang w:val="en-US" w:eastAsia="zh-CN"/>
        </w:rPr>
        <w:t>连续开市的电力中长期交易不再发布交易公告。</w:t>
      </w:r>
    </w:p>
    <w:p w14:paraId="2148A5BD">
      <w:pPr>
        <w:numPr>
          <w:ilvl w:val="0"/>
          <w:numId w:val="4"/>
        </w:numPr>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电网企业应考虑季节变更、节假日安排等因素，分别预测代理购电工商业用户、居民和农业用户的用电量及典型负荷曲线。</w:t>
      </w:r>
      <w:r>
        <w:rPr>
          <w:rFonts w:hint="eastAsia" w:ascii="Times New Roman" w:hAnsi="Times New Roman" w:eastAsia="方正仿宋_GBK" w:cs="Times New Roman"/>
          <w:b w:val="0"/>
          <w:bCs w:val="0"/>
          <w:strike w:val="0"/>
          <w:color w:val="auto"/>
          <w:sz w:val="32"/>
          <w:szCs w:val="32"/>
          <w:highlight w:val="none"/>
          <w:lang w:val="en-US" w:eastAsia="zh-CN"/>
        </w:rPr>
        <w:t>推动电网企业</w:t>
      </w:r>
      <w:r>
        <w:rPr>
          <w:rFonts w:hint="eastAsia" w:ascii="Times New Roman" w:hAnsi="Times New Roman" w:eastAsia="方正仿宋_GBK" w:cs="Times New Roman"/>
          <w:b w:val="0"/>
          <w:bCs w:val="0"/>
          <w:strike w:val="0"/>
          <w:color w:val="auto"/>
          <w:kern w:val="2"/>
          <w:sz w:val="32"/>
          <w:szCs w:val="32"/>
          <w:highlight w:val="none"/>
        </w:rPr>
        <w:t>逐步降低代理购电规模，</w:t>
      </w:r>
      <w:r>
        <w:rPr>
          <w:rFonts w:hint="eastAsia" w:ascii="Times New Roman" w:hAnsi="Times New Roman" w:eastAsia="方正仿宋_GBK" w:cs="Times New Roman"/>
          <w:b w:val="0"/>
          <w:bCs w:val="0"/>
          <w:strike w:val="0"/>
          <w:color w:val="auto"/>
          <w:kern w:val="2"/>
          <w:sz w:val="32"/>
          <w:szCs w:val="32"/>
          <w:highlight w:val="none"/>
          <w:lang w:val="en-US" w:eastAsia="zh-CN"/>
        </w:rPr>
        <w:t>引导</w:t>
      </w:r>
      <w:r>
        <w:rPr>
          <w:rFonts w:hint="eastAsia" w:ascii="Times New Roman" w:hAnsi="Times New Roman" w:eastAsia="方正仿宋_GBK" w:cs="Times New Roman"/>
          <w:b w:val="0"/>
          <w:bCs w:val="0"/>
          <w:strike w:val="0"/>
          <w:color w:val="auto"/>
          <w:kern w:val="2"/>
          <w:sz w:val="32"/>
          <w:szCs w:val="32"/>
          <w:highlight w:val="none"/>
        </w:rPr>
        <w:t>代理购电用户直接参与市场。</w:t>
      </w:r>
    </w:p>
    <w:p w14:paraId="4ED7A86F">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跨省跨区专项输电工程配套的“沙戈荒”大基地项目</w:t>
      </w:r>
      <w:r>
        <w:rPr>
          <w:rFonts w:hint="eastAsia" w:ascii="Times New Roman" w:hAnsi="Times New Roman" w:eastAsia="方正仿宋_GBK" w:cs="Times New Roman"/>
          <w:b w:val="0"/>
          <w:bCs w:val="0"/>
          <w:color w:val="auto"/>
          <w:sz w:val="32"/>
          <w:szCs w:val="32"/>
          <w:highlight w:val="none"/>
          <w:lang w:val="en-US" w:eastAsia="zh-CN"/>
        </w:rPr>
        <w:t>等参与</w:t>
      </w:r>
      <w:r>
        <w:rPr>
          <w:rFonts w:hint="eastAsia" w:ascii="Times New Roman" w:hAnsi="Times New Roman" w:eastAsia="方正仿宋_GBK" w:cs="Times New Roman"/>
          <w:b w:val="0"/>
          <w:bCs w:val="0"/>
          <w:color w:val="auto"/>
          <w:sz w:val="32"/>
          <w:szCs w:val="32"/>
          <w:highlight w:val="none"/>
          <w:lang w:val="en-US" w:eastAsia="zh-CN"/>
        </w:rPr>
        <w:t>电力中长期市场</w:t>
      </w:r>
      <w:r>
        <w:rPr>
          <w:rFonts w:hint="eastAsia" w:ascii="Times New Roman" w:hAnsi="Times New Roman" w:eastAsia="方正仿宋_GBK" w:cs="Times New Roman"/>
          <w:b w:val="0"/>
          <w:bCs w:val="0"/>
          <w:color w:val="auto"/>
          <w:sz w:val="32"/>
          <w:szCs w:val="32"/>
          <w:highlight w:val="none"/>
          <w:lang w:val="en-US" w:eastAsia="zh-CN"/>
        </w:rPr>
        <w:t>的方式另行规定。</w:t>
      </w:r>
    </w:p>
    <w:p w14:paraId="07034835">
      <w:pPr>
        <w:pStyle w:val="2"/>
        <w:adjustRightInd w:val="0"/>
        <w:snapToGrid w:val="0"/>
        <w:spacing w:line="588" w:lineRule="exact"/>
        <w:ind w:firstLineChars="0"/>
        <w:jc w:val="center"/>
        <w:rPr>
          <w:rFonts w:hint="default" w:ascii="Times New Roman" w:hAnsi="Times New Roman" w:eastAsia="方正楷体_GBK" w:cs="Times New Roman"/>
          <w:b w:val="0"/>
          <w:bCs w:val="0"/>
          <w:color w:val="auto"/>
          <w:sz w:val="32"/>
          <w:szCs w:val="32"/>
          <w:highlight w:val="none"/>
          <w:lang w:val="en-US" w:eastAsia="zh-CN"/>
        </w:rPr>
      </w:pPr>
      <w:bookmarkStart w:id="123" w:name="_Toc1811035176"/>
      <w:bookmarkStart w:id="124" w:name="_Toc1666"/>
      <w:bookmarkStart w:id="125" w:name="_Toc806259233"/>
      <w:bookmarkStart w:id="126" w:name="_Toc29828"/>
      <w:bookmarkStart w:id="127" w:name="_Toc1222750299"/>
      <w:r>
        <w:rPr>
          <w:rFonts w:hint="eastAsia" w:ascii="Times New Roman" w:hAnsi="Times New Roman" w:eastAsia="方正楷体_GBK" w:cs="Times New Roman"/>
          <w:b w:val="0"/>
          <w:bCs w:val="0"/>
          <w:color w:val="auto"/>
          <w:sz w:val="32"/>
          <w:szCs w:val="32"/>
          <w:highlight w:val="none"/>
        </w:rPr>
        <w:t>第</w:t>
      </w:r>
      <w:r>
        <w:rPr>
          <w:rFonts w:hint="eastAsia" w:ascii="Times New Roman" w:hAnsi="Times New Roman" w:eastAsia="方正楷体_GBK" w:cs="Times New Roman"/>
          <w:b w:val="0"/>
          <w:bCs w:val="0"/>
          <w:color w:val="auto"/>
          <w:sz w:val="32"/>
          <w:szCs w:val="32"/>
          <w:highlight w:val="none"/>
          <w:lang w:val="en-US" w:eastAsia="zh-CN"/>
        </w:rPr>
        <w:t>二</w:t>
      </w:r>
      <w:r>
        <w:rPr>
          <w:rFonts w:hint="eastAsia" w:ascii="Times New Roman" w:hAnsi="Times New Roman" w:eastAsia="方正楷体_GBK" w:cs="Times New Roman"/>
          <w:b w:val="0"/>
          <w:bCs w:val="0"/>
          <w:color w:val="auto"/>
          <w:sz w:val="32"/>
          <w:szCs w:val="32"/>
          <w:highlight w:val="none"/>
        </w:rPr>
        <w:t xml:space="preserve">节 </w:t>
      </w:r>
      <w:r>
        <w:rPr>
          <w:rFonts w:hint="eastAsia" w:ascii="Times New Roman" w:hAnsi="Times New Roman" w:eastAsia="方正楷体_GBK" w:cs="Times New Roman"/>
          <w:b w:val="0"/>
          <w:bCs w:val="0"/>
          <w:color w:val="auto"/>
          <w:sz w:val="32"/>
          <w:szCs w:val="32"/>
          <w:highlight w:val="none"/>
          <w:lang w:val="en-US" w:eastAsia="zh-CN"/>
        </w:rPr>
        <w:t>交易约束与出清</w:t>
      </w:r>
      <w:bookmarkEnd w:id="123"/>
      <w:bookmarkEnd w:id="124"/>
      <w:bookmarkEnd w:id="125"/>
      <w:bookmarkEnd w:id="126"/>
      <w:bookmarkEnd w:id="127"/>
    </w:p>
    <w:p w14:paraId="27A494D2">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在</w:t>
      </w:r>
      <w:r>
        <w:rPr>
          <w:rFonts w:hint="eastAsia" w:ascii="Times New Roman" w:hAnsi="Times New Roman" w:eastAsia="方正仿宋_GBK" w:cs="Times New Roman"/>
          <w:b w:val="0"/>
          <w:bCs w:val="0"/>
          <w:color w:val="auto"/>
          <w:kern w:val="2"/>
          <w:sz w:val="32"/>
          <w:szCs w:val="32"/>
          <w:highlight w:val="none"/>
          <w:lang w:val="en-US" w:eastAsia="zh-CN" w:bidi="ar"/>
        </w:rPr>
        <w:t>电力中长期交易</w:t>
      </w:r>
      <w:r>
        <w:rPr>
          <w:rFonts w:hint="eastAsia" w:ascii="Times New Roman" w:hAnsi="Times New Roman" w:eastAsia="方正仿宋_GBK" w:cs="Times New Roman"/>
          <w:b w:val="0"/>
          <w:bCs w:val="0"/>
          <w:color w:val="auto"/>
          <w:sz w:val="32"/>
          <w:szCs w:val="32"/>
          <w:highlight w:val="none"/>
        </w:rPr>
        <w:t>开展前，应</w:t>
      </w:r>
      <w:r>
        <w:rPr>
          <w:rFonts w:hint="eastAsia" w:ascii="Times New Roman" w:hAnsi="Times New Roman" w:eastAsia="方正仿宋_GBK" w:cs="Times New Roman"/>
          <w:b w:val="0"/>
          <w:bCs w:val="0"/>
          <w:color w:val="auto"/>
          <w:sz w:val="32"/>
          <w:szCs w:val="32"/>
          <w:highlight w:val="none"/>
          <w:lang w:val="en-US" w:eastAsia="zh-CN"/>
        </w:rPr>
        <w:t>在交易公告中</w:t>
      </w:r>
      <w:r>
        <w:rPr>
          <w:rFonts w:hint="eastAsia" w:ascii="Times New Roman" w:hAnsi="Times New Roman" w:eastAsia="方正仿宋_GBK" w:cs="Times New Roman"/>
          <w:b w:val="0"/>
          <w:bCs w:val="0"/>
          <w:color w:val="auto"/>
          <w:sz w:val="32"/>
          <w:szCs w:val="32"/>
          <w:highlight w:val="none"/>
        </w:rPr>
        <w:t>明确</w:t>
      </w:r>
      <w:r>
        <w:rPr>
          <w:rFonts w:hint="eastAsia" w:ascii="Times New Roman" w:hAnsi="Times New Roman" w:eastAsia="方正仿宋_GBK" w:cs="Times New Roman"/>
          <w:b w:val="0"/>
          <w:bCs w:val="0"/>
          <w:color w:val="auto"/>
          <w:kern w:val="2"/>
          <w:sz w:val="32"/>
          <w:szCs w:val="32"/>
          <w:highlight w:val="none"/>
          <w:lang w:val="en-US" w:eastAsia="zh-CN" w:bidi="ar"/>
        </w:rPr>
        <w:t>电力中长期交易</w:t>
      </w:r>
      <w:r>
        <w:rPr>
          <w:rFonts w:hint="eastAsia" w:ascii="Times New Roman" w:hAnsi="Times New Roman" w:eastAsia="方正仿宋_GBK" w:cs="Times New Roman"/>
          <w:b w:val="0"/>
          <w:bCs w:val="0"/>
          <w:color w:val="auto"/>
          <w:kern w:val="2"/>
          <w:sz w:val="32"/>
          <w:szCs w:val="32"/>
          <w:highlight w:val="none"/>
          <w:lang w:val="en-US" w:eastAsia="zh-CN"/>
        </w:rPr>
        <w:t>的</w:t>
      </w:r>
      <w:r>
        <w:rPr>
          <w:rFonts w:hint="eastAsia" w:ascii="Times New Roman" w:hAnsi="Times New Roman" w:eastAsia="方正仿宋_GBK" w:cs="Times New Roman"/>
          <w:b w:val="0"/>
          <w:bCs w:val="0"/>
          <w:color w:val="auto"/>
          <w:sz w:val="32"/>
          <w:szCs w:val="32"/>
          <w:highlight w:val="none"/>
        </w:rPr>
        <w:t>各项</w:t>
      </w:r>
      <w:r>
        <w:rPr>
          <w:rFonts w:hint="eastAsia" w:ascii="Times New Roman" w:hAnsi="Times New Roman" w:eastAsia="方正仿宋_GBK" w:cs="Times New Roman"/>
          <w:b w:val="0"/>
          <w:bCs w:val="0"/>
          <w:color w:val="auto"/>
          <w:sz w:val="32"/>
          <w:szCs w:val="32"/>
          <w:highlight w:val="none"/>
          <w:lang w:val="en-US" w:eastAsia="zh-CN"/>
        </w:rPr>
        <w:t>关键</w:t>
      </w:r>
      <w:r>
        <w:rPr>
          <w:rFonts w:hint="eastAsia" w:ascii="Times New Roman" w:hAnsi="Times New Roman" w:eastAsia="方正仿宋_GBK" w:cs="Times New Roman"/>
          <w:b w:val="0"/>
          <w:bCs w:val="0"/>
          <w:color w:val="auto"/>
          <w:sz w:val="32"/>
          <w:szCs w:val="32"/>
          <w:highlight w:val="none"/>
        </w:rPr>
        <w:t>参数</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strike w:val="0"/>
          <w:color w:val="auto"/>
          <w:sz w:val="32"/>
          <w:szCs w:val="32"/>
          <w:highlight w:val="none"/>
        </w:rPr>
        <w:t>在申报组织以及出清过程中不得临时调整或增加关键参数</w:t>
      </w:r>
      <w:r>
        <w:rPr>
          <w:rFonts w:hint="eastAsia" w:ascii="Times New Roman" w:hAnsi="Times New Roman" w:eastAsia="方正仿宋_GBK" w:cs="Times New Roman"/>
          <w:b w:val="0"/>
          <w:bCs w:val="0"/>
          <w:color w:val="auto"/>
          <w:sz w:val="32"/>
          <w:szCs w:val="32"/>
          <w:highlight w:val="none"/>
          <w:lang w:val="en-US" w:eastAsia="zh-CN"/>
        </w:rPr>
        <w:t>。</w:t>
      </w:r>
    </w:p>
    <w:p w14:paraId="0D91F09A">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电力调度机构通过电力交易平台发布</w:t>
      </w:r>
      <w:r>
        <w:rPr>
          <w:rFonts w:hint="eastAsia" w:ascii="Times New Roman" w:hAnsi="Times New Roman" w:eastAsia="方正仿宋_GBK" w:cs="Times New Roman"/>
          <w:b w:val="0"/>
          <w:bCs w:val="0"/>
          <w:color w:val="auto"/>
          <w:sz w:val="32"/>
          <w:szCs w:val="32"/>
          <w:highlight w:val="none"/>
          <w:lang w:val="en-US" w:eastAsia="zh-CN"/>
        </w:rPr>
        <w:t>或更新各断面（设备）、各路径可用输电容量、影响断面（设备）限额变化的停电</w:t>
      </w:r>
      <w:r>
        <w:rPr>
          <w:rFonts w:hint="eastAsia" w:ascii="Times New Roman" w:hAnsi="Times New Roman" w:eastAsia="方正仿宋_GBK" w:cs="Times New Roman"/>
          <w:b w:val="0"/>
          <w:bCs w:val="0"/>
          <w:color w:val="auto"/>
          <w:sz w:val="32"/>
          <w:szCs w:val="32"/>
          <w:highlight w:val="none"/>
        </w:rPr>
        <w:t>检修等与电网运行相关的电网安全约束信息</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并</w:t>
      </w:r>
      <w:r>
        <w:rPr>
          <w:rFonts w:hint="eastAsia" w:ascii="Times New Roman" w:hAnsi="Times New Roman" w:eastAsia="方正仿宋_GBK" w:cs="Times New Roman"/>
          <w:b w:val="0"/>
          <w:bCs w:val="0"/>
          <w:strike w:val="0"/>
          <w:color w:val="auto"/>
          <w:sz w:val="32"/>
          <w:szCs w:val="32"/>
          <w:highlight w:val="none"/>
        </w:rPr>
        <w:t>根据机组可调出力、检修天数、系统负荷曲线、新能源发电情况以及电网约束，折算得出各市场化机组可用发电能力</w:t>
      </w:r>
      <w:r>
        <w:rPr>
          <w:rFonts w:hint="eastAsia" w:ascii="Times New Roman" w:hAnsi="Times New Roman" w:eastAsia="方正仿宋_GBK" w:cs="Times New Roman"/>
          <w:b w:val="0"/>
          <w:bCs w:val="0"/>
          <w:strike w:val="0"/>
          <w:color w:val="auto"/>
          <w:sz w:val="32"/>
          <w:szCs w:val="32"/>
          <w:highlight w:val="none"/>
          <w:lang w:eastAsia="zh-CN"/>
        </w:rPr>
        <w:t>，</w:t>
      </w:r>
      <w:r>
        <w:rPr>
          <w:rFonts w:hint="eastAsia" w:ascii="Times New Roman" w:hAnsi="Times New Roman" w:eastAsia="方正仿宋_GBK" w:cs="Times New Roman"/>
          <w:b w:val="0"/>
          <w:bCs w:val="0"/>
          <w:strike w:val="0"/>
          <w:color w:val="auto"/>
          <w:sz w:val="32"/>
          <w:szCs w:val="32"/>
          <w:highlight w:val="none"/>
          <w:lang w:val="en-US" w:eastAsia="zh-CN"/>
        </w:rPr>
        <w:t>提交电力交易机构</w:t>
      </w:r>
      <w:r>
        <w:rPr>
          <w:rFonts w:hint="eastAsia" w:ascii="Times New Roman" w:hAnsi="Times New Roman" w:eastAsia="方正仿宋_GBK" w:cs="Times New Roman"/>
          <w:b w:val="0"/>
          <w:bCs w:val="0"/>
          <w:color w:val="auto"/>
          <w:sz w:val="32"/>
          <w:szCs w:val="32"/>
          <w:highlight w:val="none"/>
          <w:lang w:eastAsia="zh-CN"/>
        </w:rPr>
        <w:t>。</w:t>
      </w:r>
    </w:p>
    <w:p w14:paraId="00DEF822">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eastAsia="zh-CN"/>
        </w:rPr>
        <w:t>电力交易机构</w:t>
      </w:r>
      <w:r>
        <w:rPr>
          <w:rFonts w:hint="eastAsia" w:ascii="Times New Roman" w:hAnsi="Times New Roman" w:eastAsia="方正仿宋_GBK" w:cs="Times New Roman"/>
          <w:b w:val="0"/>
          <w:bCs w:val="0"/>
          <w:color w:val="auto"/>
          <w:sz w:val="32"/>
          <w:szCs w:val="32"/>
          <w:highlight w:val="none"/>
          <w:lang w:val="en-US" w:eastAsia="zh-CN"/>
        </w:rPr>
        <w:t>根据已达成的合同，</w:t>
      </w:r>
      <w:r>
        <w:rPr>
          <w:rFonts w:hint="eastAsia" w:ascii="Times New Roman" w:hAnsi="Times New Roman" w:eastAsia="方正仿宋_GBK" w:cs="Times New Roman"/>
          <w:b w:val="0"/>
          <w:bCs w:val="0"/>
          <w:color w:val="auto"/>
          <w:sz w:val="32"/>
          <w:szCs w:val="32"/>
          <w:highlight w:val="none"/>
          <w:lang w:eastAsia="zh-CN"/>
        </w:rPr>
        <w:t>按照电力调度机构提供的可用发电能力</w:t>
      </w:r>
      <w:r>
        <w:rPr>
          <w:rFonts w:hint="eastAsia"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eastAsia="zh-CN"/>
        </w:rPr>
        <w:t>形成各</w:t>
      </w:r>
      <w:r>
        <w:rPr>
          <w:rFonts w:hint="eastAsia" w:ascii="Times New Roman" w:hAnsi="Times New Roman" w:eastAsia="方正仿宋_GBK" w:cs="Times New Roman"/>
          <w:b w:val="0"/>
          <w:bCs w:val="0"/>
          <w:color w:val="auto"/>
          <w:kern w:val="2"/>
          <w:sz w:val="32"/>
          <w:szCs w:val="32"/>
          <w:highlight w:val="none"/>
          <w:lang w:eastAsia="zh-CN"/>
        </w:rPr>
        <w:t>市场化</w:t>
      </w:r>
      <w:r>
        <w:rPr>
          <w:rFonts w:hint="eastAsia" w:ascii="Times New Roman" w:hAnsi="Times New Roman" w:eastAsia="方正仿宋_GBK" w:cs="Times New Roman"/>
          <w:b w:val="0"/>
          <w:bCs w:val="0"/>
          <w:color w:val="auto"/>
          <w:sz w:val="32"/>
          <w:szCs w:val="32"/>
          <w:highlight w:val="none"/>
          <w:lang w:eastAsia="zh-CN"/>
        </w:rPr>
        <w:t>机组交易</w:t>
      </w:r>
      <w:r>
        <w:rPr>
          <w:rFonts w:hint="eastAsia" w:ascii="Times New Roman" w:hAnsi="Times New Roman" w:eastAsia="方正仿宋_GBK" w:cs="Times New Roman"/>
          <w:b w:val="0"/>
          <w:bCs w:val="0"/>
          <w:color w:val="auto"/>
          <w:sz w:val="32"/>
          <w:szCs w:val="32"/>
          <w:highlight w:val="none"/>
          <w:lang w:val="en-US" w:eastAsia="zh-CN"/>
        </w:rPr>
        <w:t>申报</w:t>
      </w:r>
      <w:r>
        <w:rPr>
          <w:rFonts w:hint="eastAsia" w:ascii="Times New Roman" w:hAnsi="Times New Roman" w:eastAsia="方正仿宋_GBK" w:cs="Times New Roman"/>
          <w:b w:val="0"/>
          <w:bCs w:val="0"/>
          <w:color w:val="auto"/>
          <w:sz w:val="32"/>
          <w:szCs w:val="32"/>
          <w:highlight w:val="none"/>
          <w:lang w:eastAsia="zh-CN"/>
        </w:rPr>
        <w:t>限额，在交易</w:t>
      </w:r>
      <w:r>
        <w:rPr>
          <w:rFonts w:hint="eastAsia" w:ascii="Times New Roman" w:hAnsi="Times New Roman" w:eastAsia="方正仿宋_GBK" w:cs="Times New Roman"/>
          <w:b w:val="0"/>
          <w:bCs w:val="0"/>
          <w:color w:val="auto"/>
          <w:sz w:val="32"/>
          <w:szCs w:val="32"/>
          <w:highlight w:val="none"/>
          <w:lang w:val="en-US" w:eastAsia="zh-CN"/>
        </w:rPr>
        <w:t>申报</w:t>
      </w:r>
      <w:r>
        <w:rPr>
          <w:rFonts w:hint="eastAsia" w:ascii="Times New Roman" w:hAnsi="Times New Roman" w:eastAsia="方正仿宋_GBK" w:cs="Times New Roman"/>
          <w:b w:val="0"/>
          <w:bCs w:val="0"/>
          <w:color w:val="auto"/>
          <w:sz w:val="32"/>
          <w:szCs w:val="32"/>
          <w:highlight w:val="none"/>
          <w:lang w:eastAsia="zh-CN"/>
        </w:rPr>
        <w:t>前</w:t>
      </w:r>
      <w:r>
        <w:rPr>
          <w:rFonts w:hint="eastAsia" w:ascii="Times New Roman" w:hAnsi="Times New Roman" w:eastAsia="方正仿宋_GBK" w:cs="Times New Roman"/>
          <w:b w:val="0"/>
          <w:bCs w:val="0"/>
          <w:color w:val="auto"/>
          <w:sz w:val="32"/>
          <w:szCs w:val="32"/>
          <w:highlight w:val="none"/>
        </w:rPr>
        <w:t>至少</w:t>
      </w:r>
      <w:r>
        <w:rPr>
          <w:rFonts w:hint="eastAsia" w:ascii="Times New Roman" w:hAnsi="Times New Roman" w:eastAsia="方正仿宋_GBK" w:cs="Times New Roman"/>
          <w:b w:val="0"/>
          <w:bCs w:val="0"/>
          <w:color w:val="auto"/>
          <w:sz w:val="32"/>
          <w:szCs w:val="32"/>
          <w:highlight w:val="none"/>
          <w:lang w:eastAsia="zh-CN"/>
        </w:rPr>
        <w:t>1</w:t>
      </w:r>
      <w:r>
        <w:rPr>
          <w:rFonts w:hint="eastAsia" w:ascii="Times New Roman" w:hAnsi="Times New Roman" w:eastAsia="方正仿宋_GBK" w:cs="Times New Roman"/>
          <w:b w:val="0"/>
          <w:bCs w:val="0"/>
          <w:color w:val="auto"/>
          <w:sz w:val="32"/>
          <w:szCs w:val="32"/>
          <w:highlight w:val="none"/>
        </w:rPr>
        <w:t>个工作日</w:t>
      </w:r>
      <w:r>
        <w:rPr>
          <w:rFonts w:hint="eastAsia" w:ascii="Times New Roman" w:hAnsi="Times New Roman" w:eastAsia="方正仿宋_GBK" w:cs="Times New Roman"/>
          <w:b w:val="0"/>
          <w:bCs w:val="0"/>
          <w:color w:val="auto"/>
          <w:sz w:val="32"/>
          <w:szCs w:val="32"/>
          <w:highlight w:val="none"/>
          <w:lang w:val="en-US" w:eastAsia="zh-CN"/>
        </w:rPr>
        <w:t>通过电力交易平台</w:t>
      </w:r>
      <w:r>
        <w:rPr>
          <w:rFonts w:hint="eastAsia" w:ascii="Times New Roman" w:hAnsi="Times New Roman" w:eastAsia="方正仿宋_GBK" w:cs="Times New Roman"/>
          <w:b w:val="0"/>
          <w:bCs w:val="0"/>
          <w:color w:val="auto"/>
          <w:sz w:val="32"/>
          <w:szCs w:val="32"/>
          <w:highlight w:val="none"/>
          <w:lang w:eastAsia="zh-CN"/>
        </w:rPr>
        <w:t>向市场</w:t>
      </w:r>
      <w:r>
        <w:rPr>
          <w:rFonts w:hint="eastAsia" w:ascii="Times New Roman" w:hAnsi="Times New Roman" w:eastAsia="方正仿宋_GBK" w:cs="Times New Roman"/>
          <w:b w:val="0"/>
          <w:bCs w:val="0"/>
          <w:color w:val="auto"/>
          <w:sz w:val="32"/>
          <w:szCs w:val="32"/>
          <w:highlight w:val="none"/>
          <w:lang w:val="en-US" w:eastAsia="zh-CN"/>
        </w:rPr>
        <w:t>统一</w:t>
      </w:r>
      <w:r>
        <w:rPr>
          <w:rFonts w:hint="eastAsia" w:ascii="Times New Roman" w:hAnsi="Times New Roman" w:eastAsia="方正仿宋_GBK" w:cs="Times New Roman"/>
          <w:b w:val="0"/>
          <w:bCs w:val="0"/>
          <w:color w:val="auto"/>
          <w:sz w:val="32"/>
          <w:szCs w:val="32"/>
          <w:highlight w:val="none"/>
          <w:lang w:eastAsia="zh-CN"/>
        </w:rPr>
        <w:t>公布；</w:t>
      </w:r>
      <w:r>
        <w:rPr>
          <w:rFonts w:hint="eastAsia" w:ascii="Times New Roman" w:hAnsi="Times New Roman" w:eastAsia="方正仿宋_GBK" w:cs="Times New Roman"/>
          <w:b w:val="0"/>
          <w:bCs w:val="0"/>
          <w:color w:val="auto"/>
          <w:sz w:val="32"/>
          <w:szCs w:val="32"/>
          <w:highlight w:val="none"/>
          <w:lang w:val="en-US" w:eastAsia="zh-CN"/>
        </w:rPr>
        <w:t>市场化机组参与</w:t>
      </w:r>
      <w:r>
        <w:rPr>
          <w:rFonts w:hint="eastAsia" w:ascii="Times New Roman" w:hAnsi="Times New Roman" w:eastAsia="方正仿宋_GBK" w:cs="Times New Roman"/>
          <w:b w:val="0"/>
          <w:bCs w:val="0"/>
          <w:color w:val="auto"/>
          <w:sz w:val="32"/>
          <w:szCs w:val="32"/>
          <w:highlight w:val="none"/>
          <w:lang w:eastAsia="zh-CN"/>
        </w:rPr>
        <w:t>跨省跨区</w:t>
      </w:r>
      <w:r>
        <w:rPr>
          <w:rFonts w:hint="eastAsia" w:ascii="Times New Roman" w:hAnsi="Times New Roman" w:eastAsia="方正仿宋_GBK" w:cs="Times New Roman"/>
          <w:b w:val="0"/>
          <w:bCs w:val="0"/>
          <w:color w:val="auto"/>
          <w:sz w:val="32"/>
          <w:szCs w:val="32"/>
          <w:highlight w:val="none"/>
          <w:lang w:val="en-US" w:eastAsia="zh-CN"/>
        </w:rPr>
        <w:t>交易时，</w:t>
      </w:r>
      <w:r>
        <w:rPr>
          <w:rFonts w:hint="eastAsia" w:ascii="Times New Roman" w:hAnsi="Times New Roman" w:eastAsia="方正仿宋_GBK" w:cs="Times New Roman"/>
          <w:b w:val="0"/>
          <w:bCs w:val="0"/>
          <w:color w:val="auto"/>
          <w:sz w:val="32"/>
          <w:szCs w:val="32"/>
          <w:highlight w:val="none"/>
          <w:lang w:bidi="ar"/>
        </w:rPr>
        <w:t>交易</w:t>
      </w:r>
      <w:r>
        <w:rPr>
          <w:rFonts w:hint="eastAsia" w:ascii="Times New Roman" w:hAnsi="Times New Roman" w:eastAsia="方正仿宋_GBK" w:cs="Times New Roman"/>
          <w:b w:val="0"/>
          <w:bCs w:val="0"/>
          <w:color w:val="auto"/>
          <w:sz w:val="32"/>
          <w:szCs w:val="32"/>
          <w:highlight w:val="none"/>
        </w:rPr>
        <w:t>申报</w:t>
      </w:r>
      <w:r>
        <w:rPr>
          <w:rFonts w:hint="eastAsia" w:ascii="Times New Roman" w:hAnsi="Times New Roman" w:eastAsia="方正仿宋_GBK" w:cs="Times New Roman"/>
          <w:b w:val="0"/>
          <w:bCs w:val="0"/>
          <w:color w:val="auto"/>
          <w:sz w:val="32"/>
          <w:szCs w:val="32"/>
          <w:highlight w:val="none"/>
          <w:lang w:bidi="ar"/>
        </w:rPr>
        <w:t>限额不得高于对应标的物电量（电力）规模</w:t>
      </w:r>
      <w:r>
        <w:rPr>
          <w:rFonts w:hint="eastAsia" w:ascii="Times New Roman" w:hAnsi="Times New Roman" w:eastAsia="方正仿宋_GBK" w:cs="Times New Roman"/>
          <w:b w:val="0"/>
          <w:bCs w:val="0"/>
          <w:color w:val="auto"/>
          <w:sz w:val="32"/>
          <w:szCs w:val="32"/>
          <w:highlight w:val="none"/>
          <w:lang w:val="en-US" w:eastAsia="zh-CN" w:bidi="ar"/>
        </w:rPr>
        <w:t>或剩余通道可用容量对应的电量（电力）规模</w:t>
      </w:r>
      <w:r>
        <w:rPr>
          <w:rFonts w:hint="eastAsia" w:ascii="Times New Roman" w:hAnsi="Times New Roman" w:eastAsia="方正仿宋_GBK" w:cs="Times New Roman"/>
          <w:b w:val="0"/>
          <w:bCs w:val="0"/>
          <w:color w:val="auto"/>
          <w:kern w:val="2"/>
          <w:sz w:val="32"/>
          <w:szCs w:val="32"/>
          <w:highlight w:val="none"/>
          <w:lang w:val="en-US" w:eastAsia="zh-CN" w:bidi="ar"/>
        </w:rPr>
        <w:t>。</w:t>
      </w:r>
    </w:p>
    <w:p w14:paraId="60DE1907">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sz w:val="32"/>
          <w:szCs w:val="32"/>
          <w:highlight w:val="none"/>
          <w:lang w:val="en-US" w:eastAsia="zh-CN"/>
        </w:rPr>
        <w:t>参与交易</w:t>
      </w:r>
      <w:r>
        <w:rPr>
          <w:rFonts w:hint="eastAsia" w:ascii="Times New Roman" w:hAnsi="Times New Roman" w:eastAsia="方正仿宋_GBK" w:cs="Times New Roman"/>
          <w:b w:val="0"/>
          <w:bCs w:val="0"/>
          <w:color w:val="auto"/>
          <w:kern w:val="2"/>
          <w:sz w:val="32"/>
          <w:szCs w:val="32"/>
          <w:highlight w:val="none"/>
          <w:lang w:val="en-US" w:eastAsia="zh-CN"/>
        </w:rPr>
        <w:t>的</w:t>
      </w:r>
      <w:r>
        <w:rPr>
          <w:rFonts w:hint="eastAsia" w:ascii="Times New Roman" w:hAnsi="Times New Roman" w:eastAsia="方正仿宋_GBK" w:cs="Times New Roman"/>
          <w:b w:val="0"/>
          <w:bCs w:val="0"/>
          <w:color w:val="auto"/>
          <w:sz w:val="32"/>
          <w:szCs w:val="32"/>
          <w:highlight w:val="none"/>
          <w:lang w:eastAsia="zh"/>
        </w:rPr>
        <w:t>机组</w:t>
      </w:r>
      <w:r>
        <w:rPr>
          <w:rFonts w:hint="eastAsia" w:ascii="Times New Roman" w:hAnsi="Times New Roman" w:eastAsia="方正仿宋_GBK" w:cs="Times New Roman"/>
          <w:b w:val="0"/>
          <w:bCs w:val="0"/>
          <w:color w:val="auto"/>
          <w:sz w:val="32"/>
          <w:szCs w:val="32"/>
          <w:highlight w:val="none"/>
        </w:rPr>
        <w:t>申报</w:t>
      </w:r>
      <w:r>
        <w:rPr>
          <w:rFonts w:hint="eastAsia" w:ascii="Times New Roman" w:hAnsi="Times New Roman" w:eastAsia="方正仿宋_GBK" w:cs="Times New Roman"/>
          <w:b w:val="0"/>
          <w:bCs w:val="0"/>
          <w:color w:val="auto"/>
          <w:sz w:val="32"/>
          <w:szCs w:val="32"/>
          <w:highlight w:val="none"/>
          <w:lang w:bidi="ar"/>
        </w:rPr>
        <w:t>限额</w:t>
      </w:r>
      <w:r>
        <w:rPr>
          <w:rFonts w:hint="eastAsia" w:ascii="Times New Roman" w:hAnsi="Times New Roman" w:eastAsia="方正仿宋_GBK" w:cs="Times New Roman"/>
          <w:b w:val="0"/>
          <w:bCs w:val="0"/>
          <w:color w:val="auto"/>
          <w:sz w:val="32"/>
          <w:szCs w:val="32"/>
          <w:highlight w:val="none"/>
          <w:lang w:val="en-US" w:eastAsia="zh-CN"/>
        </w:rPr>
        <w:t>应根据市场交易情况及时调整</w:t>
      </w:r>
      <w:r>
        <w:rPr>
          <w:rFonts w:hint="eastAsia" w:ascii="Times New Roman" w:hAnsi="Times New Roman" w:eastAsia="方正仿宋_GBK" w:cs="Times New Roman"/>
          <w:b w:val="0"/>
          <w:bCs w:val="0"/>
          <w:color w:val="auto"/>
          <w:kern w:val="2"/>
          <w:sz w:val="32"/>
          <w:szCs w:val="32"/>
          <w:highlight w:val="none"/>
          <w:lang w:val="en-US" w:eastAsia="zh-CN" w:bidi="ar"/>
        </w:rPr>
        <w:t>，实时扣除已成交电量、已申报未出清电量。</w:t>
      </w:r>
    </w:p>
    <w:p w14:paraId="6A284D02">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售电公司、虚拟电厂、负荷聚合商交易申报限额应根据注册资产总额、履约担保额度、代理或聚合用户的历史用电水平等对风险平抑能力条件确定</w:t>
      </w:r>
      <w:r>
        <w:rPr>
          <w:rFonts w:hint="eastAsia" w:ascii="Times New Roman" w:hAnsi="Times New Roman" w:eastAsia="方正仿宋_GBK" w:cs="Times New Roman"/>
          <w:b w:val="0"/>
          <w:bCs w:val="0"/>
          <w:color w:val="auto"/>
          <w:sz w:val="32"/>
          <w:szCs w:val="32"/>
          <w:highlight w:val="none"/>
          <w:lang w:val="en-US" w:eastAsia="zh-CN"/>
        </w:rPr>
        <w:t>。</w:t>
      </w:r>
    </w:p>
    <w:p w14:paraId="60D6788B">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b w:val="0"/>
          <w:bCs w:val="0"/>
          <w:color w:val="auto"/>
        </w:rPr>
      </w:pPr>
      <w:r>
        <w:rPr>
          <w:rFonts w:hint="eastAsia" w:ascii="Times New Roman" w:hAnsi="Times New Roman" w:eastAsia="方正仿宋_GBK" w:cs="Times New Roman"/>
          <w:b w:val="0"/>
          <w:bCs w:val="0"/>
          <w:color w:val="auto"/>
          <w:sz w:val="32"/>
          <w:szCs w:val="32"/>
          <w:highlight w:val="none"/>
          <w:shd w:val="clear" w:color="auto" w:fill="FFFFFF"/>
        </w:rPr>
        <w:t>经营主体</w:t>
      </w:r>
      <w:r>
        <w:rPr>
          <w:rFonts w:hint="eastAsia" w:ascii="Times New Roman" w:hAnsi="Times New Roman" w:eastAsia="方正仿宋_GBK" w:cs="Times New Roman"/>
          <w:b w:val="0"/>
          <w:bCs w:val="0"/>
          <w:color w:val="auto"/>
          <w:sz w:val="32"/>
          <w:szCs w:val="32"/>
          <w:highlight w:val="none"/>
          <w:shd w:val="clear" w:color="auto" w:fill="FFFFFF"/>
          <w:lang w:val="en-US" w:eastAsia="zh-CN"/>
        </w:rPr>
        <w:t>应</w:t>
      </w:r>
      <w:r>
        <w:rPr>
          <w:rFonts w:hint="eastAsia" w:ascii="Times New Roman" w:hAnsi="Times New Roman" w:eastAsia="方正仿宋_GBK" w:cs="Times New Roman"/>
          <w:b w:val="0"/>
          <w:bCs w:val="0"/>
          <w:color w:val="auto"/>
          <w:sz w:val="32"/>
          <w:szCs w:val="32"/>
          <w:highlight w:val="none"/>
          <w:shd w:val="clear" w:color="auto" w:fill="FFFFFF"/>
        </w:rPr>
        <w:t>在规定的时限内通过电力交易平台申报</w:t>
      </w:r>
      <w:r>
        <w:rPr>
          <w:rFonts w:hint="eastAsia" w:ascii="Times New Roman" w:hAnsi="Times New Roman" w:eastAsia="方正仿宋_GBK" w:cs="Times New Roman"/>
          <w:b w:val="0"/>
          <w:bCs w:val="0"/>
          <w:color w:val="auto"/>
          <w:sz w:val="32"/>
          <w:szCs w:val="32"/>
          <w:highlight w:val="none"/>
          <w:shd w:val="clear" w:color="auto" w:fill="FFFFFF"/>
          <w:lang w:val="en-US" w:eastAsia="zh-CN"/>
        </w:rPr>
        <w:t>相关</w:t>
      </w:r>
      <w:r>
        <w:rPr>
          <w:rFonts w:hint="eastAsia" w:ascii="Times New Roman" w:hAnsi="Times New Roman" w:eastAsia="方正仿宋_GBK" w:cs="Times New Roman"/>
          <w:b w:val="0"/>
          <w:bCs w:val="0"/>
          <w:color w:val="auto"/>
          <w:sz w:val="32"/>
          <w:szCs w:val="32"/>
          <w:highlight w:val="none"/>
          <w:shd w:val="clear" w:color="auto" w:fill="FFFFFF"/>
        </w:rPr>
        <w:t>交易数据。电力交易机构根据</w:t>
      </w:r>
      <w:r>
        <w:rPr>
          <w:rFonts w:hint="eastAsia" w:ascii="Times New Roman" w:hAnsi="Times New Roman" w:eastAsia="方正仿宋_GBK" w:cs="Times New Roman"/>
          <w:b w:val="0"/>
          <w:bCs w:val="0"/>
          <w:color w:val="auto"/>
          <w:sz w:val="32"/>
          <w:szCs w:val="32"/>
          <w:highlight w:val="none"/>
          <w:shd w:val="clear" w:color="auto" w:fill="FFFFFF"/>
          <w:lang w:eastAsia="zh"/>
        </w:rPr>
        <w:t>必要的交易</w:t>
      </w:r>
      <w:r>
        <w:rPr>
          <w:rFonts w:hint="eastAsia" w:ascii="Times New Roman" w:hAnsi="Times New Roman" w:eastAsia="方正仿宋_GBK" w:cs="Times New Roman"/>
          <w:b w:val="0"/>
          <w:bCs w:val="0"/>
          <w:color w:val="auto"/>
          <w:sz w:val="32"/>
          <w:szCs w:val="32"/>
          <w:highlight w:val="none"/>
          <w:shd w:val="clear" w:color="auto" w:fill="FFFFFF"/>
          <w:lang w:eastAsia="zh-CN"/>
        </w:rPr>
        <w:t>出清</w:t>
      </w:r>
      <w:r>
        <w:rPr>
          <w:rFonts w:hint="eastAsia" w:ascii="Times New Roman" w:hAnsi="Times New Roman" w:eastAsia="方正仿宋_GBK" w:cs="Times New Roman"/>
          <w:b w:val="0"/>
          <w:bCs w:val="0"/>
          <w:color w:val="auto"/>
          <w:sz w:val="32"/>
          <w:szCs w:val="32"/>
          <w:highlight w:val="none"/>
          <w:shd w:val="clear" w:color="auto" w:fill="FFFFFF"/>
          <w:lang w:eastAsia="zh"/>
        </w:rPr>
        <w:t>约束</w:t>
      </w:r>
      <w:r>
        <w:rPr>
          <w:rFonts w:hint="eastAsia" w:ascii="Times New Roman" w:hAnsi="Times New Roman" w:eastAsia="方正仿宋_GBK" w:cs="Times New Roman"/>
          <w:b w:val="0"/>
          <w:bCs w:val="0"/>
          <w:color w:val="auto"/>
          <w:sz w:val="32"/>
          <w:szCs w:val="32"/>
          <w:highlight w:val="none"/>
          <w:shd w:val="clear" w:color="auto" w:fill="FFFFFF"/>
        </w:rPr>
        <w:t>进行市场出清，形成预成交结果。</w:t>
      </w:r>
    </w:p>
    <w:p w14:paraId="12B323FC">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shd w:val="clear" w:color="auto" w:fill="FFFFFF"/>
          <w:lang w:val="en-US" w:eastAsia="zh-CN"/>
        </w:rPr>
        <w:t>跨省跨区交易中，北京电力交易中心、广州电力交易中心可协同</w:t>
      </w:r>
      <w:r>
        <w:rPr>
          <w:rFonts w:hint="eastAsia" w:ascii="Times New Roman" w:hAnsi="Times New Roman" w:eastAsia="方正仿宋_GBK" w:cs="Times New Roman"/>
          <w:b w:val="0"/>
          <w:bCs w:val="0"/>
          <w:color w:val="auto"/>
          <w:sz w:val="32"/>
          <w:szCs w:val="32"/>
          <w:highlight w:val="none"/>
        </w:rPr>
        <w:t>各省</w:t>
      </w:r>
      <w:r>
        <w:rPr>
          <w:rFonts w:hint="eastAsia" w:ascii="Times New Roman" w:hAnsi="Times New Roman" w:eastAsia="方正仿宋_GBK" w:cs="Times New Roman"/>
          <w:b w:val="0"/>
          <w:bCs w:val="0"/>
          <w:color w:val="auto"/>
          <w:sz w:val="32"/>
          <w:szCs w:val="32"/>
          <w:highlight w:val="none"/>
          <w:lang w:eastAsia="zh-CN"/>
        </w:rPr>
        <w:t>（区、市）</w:t>
      </w:r>
      <w:r>
        <w:rPr>
          <w:rFonts w:hint="eastAsia" w:ascii="Times New Roman" w:hAnsi="Times New Roman" w:eastAsia="方正仿宋_GBK" w:cs="Times New Roman"/>
          <w:b w:val="0"/>
          <w:bCs w:val="0"/>
          <w:color w:val="auto"/>
          <w:sz w:val="32"/>
          <w:szCs w:val="32"/>
          <w:highlight w:val="none"/>
          <w:lang w:val="en-US" w:eastAsia="zh-CN"/>
        </w:rPr>
        <w:t>电力</w:t>
      </w:r>
      <w:r>
        <w:rPr>
          <w:rFonts w:hint="eastAsia" w:ascii="Times New Roman" w:hAnsi="Times New Roman" w:eastAsia="方正仿宋_GBK" w:cs="Times New Roman"/>
          <w:b w:val="0"/>
          <w:bCs w:val="0"/>
          <w:color w:val="auto"/>
          <w:sz w:val="32"/>
          <w:szCs w:val="32"/>
          <w:highlight w:val="none"/>
          <w:shd w:val="clear" w:color="auto" w:fill="FFFFFF"/>
          <w:lang w:val="en-US" w:eastAsia="zh-CN"/>
        </w:rPr>
        <w:t>交易机构根据电网运行约束开展出清，形成预成交结果。</w:t>
      </w:r>
      <w:r>
        <w:rPr>
          <w:rFonts w:hint="eastAsia" w:ascii="Times New Roman" w:hAnsi="Times New Roman" w:eastAsia="方正仿宋_GBK" w:cs="Times New Roman"/>
          <w:b w:val="0"/>
          <w:bCs w:val="0"/>
          <w:color w:val="auto"/>
          <w:sz w:val="32"/>
          <w:szCs w:val="32"/>
          <w:highlight w:val="none"/>
          <w:lang w:val="en-US" w:eastAsia="zh-CN"/>
        </w:rPr>
        <w:t>在交易出清、安全校核及执行阶段，为规范市场秩序，可根据交易周期、交易成分、送受端落点等要素确定交易优先级，具体优先级在实施细则中明确。</w:t>
      </w:r>
    </w:p>
    <w:p w14:paraId="22C738A6">
      <w:pPr>
        <w:pageBreakBefore w:val="0"/>
        <w:numPr>
          <w:ilvl w:val="0"/>
          <w:numId w:val="4"/>
        </w:numPr>
        <w:kinsoku/>
        <w:wordWrap/>
        <w:overflowPunct/>
        <w:topLinePunct w:val="0"/>
        <w:autoSpaceDN/>
        <w:bidi w:val="0"/>
        <w:adjustRightInd w:val="0"/>
        <w:snapToGrid w:val="0"/>
        <w:spacing w:line="588" w:lineRule="exact"/>
        <w:ind w:left="-13" w:firstLine="643" w:firstLineChars="0"/>
        <w:jc w:val="both"/>
        <w:rPr>
          <w:rFonts w:hint="eastAsia" w:ascii="Times New Roman" w:hAnsi="Times New Roman" w:eastAsia="方正仿宋_GBK" w:cs="Times New Roman"/>
          <w:b w:val="0"/>
          <w:bCs w:val="0"/>
          <w:color w:val="auto"/>
          <w:sz w:val="32"/>
          <w:szCs w:val="32"/>
          <w:highlight w:val="none"/>
          <w:shd w:val="clear" w:color="auto" w:fill="FFFFFF"/>
        </w:rPr>
      </w:pPr>
      <w:r>
        <w:rPr>
          <w:rFonts w:hint="eastAsia" w:ascii="Times New Roman" w:hAnsi="Times New Roman" w:eastAsia="方正仿宋_GBK" w:cs="Times New Roman"/>
          <w:b w:val="0"/>
          <w:bCs w:val="0"/>
          <w:color w:val="auto"/>
          <w:sz w:val="32"/>
          <w:szCs w:val="32"/>
          <w:highlight w:val="none"/>
          <w:shd w:val="clear" w:color="auto" w:fill="FFFFFF"/>
          <w:lang w:val="en-US" w:eastAsia="zh-CN"/>
        </w:rPr>
        <w:t>在月内电能量交易中，跨省跨区</w:t>
      </w:r>
      <w:r>
        <w:rPr>
          <w:rFonts w:hint="eastAsia" w:ascii="Times New Roman" w:hAnsi="Times New Roman" w:eastAsia="方正仿宋_GBK" w:cs="Times New Roman"/>
          <w:b w:val="0"/>
          <w:bCs w:val="0"/>
          <w:color w:val="auto"/>
          <w:sz w:val="32"/>
          <w:szCs w:val="32"/>
          <w:highlight w:val="none"/>
          <w:shd w:val="clear" w:color="auto" w:fill="FFFFFF"/>
        </w:rPr>
        <w:t>交易</w:t>
      </w:r>
      <w:r>
        <w:rPr>
          <w:rFonts w:hint="eastAsia" w:ascii="Times New Roman" w:hAnsi="Times New Roman" w:eastAsia="方正仿宋_GBK" w:cs="Times New Roman"/>
          <w:b w:val="0"/>
          <w:bCs w:val="0"/>
          <w:strike w:val="0"/>
          <w:color w:val="auto"/>
          <w:sz w:val="32"/>
          <w:szCs w:val="32"/>
          <w:highlight w:val="none"/>
          <w:shd w:val="clear" w:color="auto" w:fill="FFFFFF"/>
          <w:lang w:eastAsia="zh-CN"/>
        </w:rPr>
        <w:t>可</w:t>
      </w:r>
      <w:r>
        <w:rPr>
          <w:rFonts w:hint="eastAsia" w:ascii="Times New Roman" w:hAnsi="Times New Roman" w:eastAsia="方正仿宋_GBK" w:cs="Times New Roman"/>
          <w:b w:val="0"/>
          <w:bCs w:val="0"/>
          <w:strike w:val="0"/>
          <w:color w:val="auto"/>
          <w:sz w:val="32"/>
          <w:szCs w:val="32"/>
          <w:highlight w:val="none"/>
          <w:shd w:val="clear" w:color="auto" w:fill="FFFFFF"/>
        </w:rPr>
        <w:t>以集中</w:t>
      </w:r>
      <w:r>
        <w:rPr>
          <w:rFonts w:hint="eastAsia" w:ascii="Times New Roman" w:hAnsi="Times New Roman" w:eastAsia="方正仿宋_GBK" w:cs="Times New Roman"/>
          <w:b w:val="0"/>
          <w:bCs w:val="0"/>
          <w:strike w:val="0"/>
          <w:color w:val="auto"/>
          <w:sz w:val="32"/>
          <w:szCs w:val="32"/>
          <w:highlight w:val="none"/>
          <w:shd w:val="clear" w:color="auto" w:fill="FFFFFF"/>
          <w:lang w:val="en-US" w:eastAsia="zh-CN"/>
        </w:rPr>
        <w:t>交易或双边协商等</w:t>
      </w:r>
      <w:r>
        <w:rPr>
          <w:rFonts w:hint="eastAsia" w:ascii="Times New Roman" w:hAnsi="Times New Roman" w:eastAsia="方正仿宋_GBK" w:cs="Times New Roman"/>
          <w:b w:val="0"/>
          <w:bCs w:val="0"/>
          <w:strike w:val="0"/>
          <w:color w:val="auto"/>
          <w:sz w:val="32"/>
          <w:szCs w:val="32"/>
          <w:highlight w:val="none"/>
          <w:shd w:val="clear" w:color="auto" w:fill="FFFFFF"/>
        </w:rPr>
        <w:t>方式开展</w:t>
      </w:r>
      <w:r>
        <w:rPr>
          <w:rFonts w:hint="eastAsia" w:ascii="Times New Roman" w:hAnsi="Times New Roman" w:eastAsia="方正仿宋_GBK" w:cs="Times New Roman"/>
          <w:b w:val="0"/>
          <w:bCs w:val="0"/>
          <w:strike w:val="0"/>
          <w:color w:val="auto"/>
          <w:sz w:val="32"/>
          <w:szCs w:val="32"/>
          <w:highlight w:val="none"/>
          <w:shd w:val="clear" w:color="auto" w:fill="FFFFFF"/>
          <w:lang w:eastAsia="zh-CN"/>
        </w:rPr>
        <w:t>，</w:t>
      </w:r>
      <w:r>
        <w:rPr>
          <w:rFonts w:hint="eastAsia" w:ascii="Times New Roman" w:hAnsi="Times New Roman" w:eastAsia="方正仿宋_GBK" w:cs="Times New Roman"/>
          <w:b w:val="0"/>
          <w:bCs w:val="0"/>
          <w:color w:val="auto"/>
          <w:sz w:val="32"/>
          <w:szCs w:val="32"/>
          <w:highlight w:val="none"/>
          <w:shd w:val="clear" w:color="auto" w:fill="FFFFFF"/>
          <w:lang w:eastAsia="zh-CN"/>
        </w:rPr>
        <w:t>因电力安全保供、清洁能源消纳等需要时，</w:t>
      </w:r>
      <w:r>
        <w:rPr>
          <w:rFonts w:hint="eastAsia" w:ascii="Times New Roman" w:hAnsi="Times New Roman" w:eastAsia="方正仿宋_GBK" w:cs="Times New Roman"/>
          <w:b w:val="0"/>
          <w:bCs w:val="0"/>
          <w:color w:val="auto"/>
          <w:sz w:val="32"/>
          <w:szCs w:val="32"/>
          <w:highlight w:val="none"/>
          <w:shd w:val="clear" w:color="auto" w:fill="FFFFFF"/>
        </w:rPr>
        <w:t>可不受输电通道常规送电方向、送电类型约束</w:t>
      </w:r>
      <w:r>
        <w:rPr>
          <w:rFonts w:hint="eastAsia" w:ascii="Times New Roman" w:hAnsi="Times New Roman" w:eastAsia="方正仿宋_GBK" w:cs="Times New Roman"/>
          <w:b w:val="0"/>
          <w:bCs w:val="0"/>
          <w:color w:val="auto"/>
          <w:sz w:val="32"/>
          <w:szCs w:val="32"/>
          <w:highlight w:val="none"/>
          <w:shd w:val="clear" w:color="auto" w:fill="FFFFFF"/>
          <w:lang w:eastAsia="zh-CN"/>
        </w:rPr>
        <w:t>；</w:t>
      </w:r>
      <w:r>
        <w:rPr>
          <w:rFonts w:hint="eastAsia" w:ascii="Times New Roman" w:hAnsi="Times New Roman" w:eastAsia="方正仿宋_GBK" w:cs="Times New Roman"/>
          <w:b w:val="0"/>
          <w:bCs w:val="0"/>
          <w:color w:val="auto"/>
          <w:sz w:val="32"/>
          <w:szCs w:val="32"/>
          <w:highlight w:val="none"/>
          <w:lang w:val="en-US" w:eastAsia="zh-CN"/>
        </w:rPr>
        <w:t>省内</w:t>
      </w:r>
      <w:r>
        <w:rPr>
          <w:rFonts w:hint="eastAsia" w:ascii="Times New Roman" w:hAnsi="Times New Roman" w:eastAsia="方正仿宋_GBK" w:cs="Times New Roman"/>
          <w:b w:val="0"/>
          <w:bCs w:val="0"/>
          <w:color w:val="auto"/>
          <w:sz w:val="32"/>
          <w:szCs w:val="32"/>
          <w:highlight w:val="none"/>
          <w:shd w:val="clear" w:color="auto" w:fill="FFFFFF"/>
          <w:lang w:val="en-US" w:eastAsia="zh-CN"/>
        </w:rPr>
        <w:t>交易主要</w:t>
      </w:r>
      <w:r>
        <w:rPr>
          <w:rFonts w:hint="eastAsia" w:ascii="Times New Roman" w:hAnsi="Times New Roman" w:eastAsia="方正仿宋_GBK" w:cs="Times New Roman"/>
          <w:b w:val="0"/>
          <w:bCs w:val="0"/>
          <w:color w:val="auto"/>
          <w:sz w:val="32"/>
          <w:szCs w:val="32"/>
          <w:highlight w:val="none"/>
          <w:shd w:val="clear" w:color="auto" w:fill="FFFFFF"/>
        </w:rPr>
        <w:t>开展</w:t>
      </w:r>
      <w:r>
        <w:rPr>
          <w:rFonts w:hint="eastAsia" w:ascii="Times New Roman" w:hAnsi="Times New Roman" w:eastAsia="方正仿宋_GBK" w:cs="Times New Roman"/>
          <w:b w:val="0"/>
          <w:bCs w:val="0"/>
          <w:color w:val="auto"/>
          <w:sz w:val="32"/>
          <w:szCs w:val="32"/>
          <w:highlight w:val="none"/>
          <w:shd w:val="clear" w:color="auto" w:fill="FFFFFF"/>
          <w:lang w:val="en-US" w:eastAsia="zh-CN"/>
        </w:rPr>
        <w:t>集中竞价、滚动撮合和集中撮合交易</w:t>
      </w:r>
      <w:r>
        <w:rPr>
          <w:rFonts w:hint="eastAsia" w:ascii="Times New Roman" w:hAnsi="Times New Roman" w:eastAsia="方正仿宋_GBK" w:cs="Times New Roman"/>
          <w:b w:val="0"/>
          <w:bCs w:val="0"/>
          <w:color w:val="auto"/>
          <w:sz w:val="32"/>
          <w:szCs w:val="32"/>
          <w:highlight w:val="none"/>
          <w:shd w:val="clear" w:color="auto" w:fill="FFFFFF"/>
        </w:rPr>
        <w:t>。</w:t>
      </w:r>
    </w:p>
    <w:p w14:paraId="123863E5">
      <w:pPr>
        <w:pStyle w:val="2"/>
        <w:pageBreakBefore w:val="0"/>
        <w:numPr>
          <w:ilvl w:val="-1"/>
          <w:numId w:val="0"/>
        </w:numPr>
        <w:kinsoku/>
        <w:wordWrap/>
        <w:overflowPunct/>
        <w:topLinePunct w:val="0"/>
        <w:autoSpaceDN/>
        <w:bidi w:val="0"/>
        <w:adjustRightInd w:val="0"/>
        <w:snapToGrid w:val="0"/>
        <w:spacing w:line="588" w:lineRule="exact"/>
        <w:ind w:firstLine="0" w:firstLineChars="0"/>
        <w:jc w:val="center"/>
        <w:rPr>
          <w:rFonts w:hint="default" w:ascii="Times New Roman" w:hAnsi="Times New Roman" w:eastAsia="方正楷体_GBK" w:cs="Times New Roman"/>
          <w:b w:val="0"/>
          <w:bCs w:val="0"/>
          <w:color w:val="auto"/>
          <w:sz w:val="32"/>
          <w:szCs w:val="32"/>
          <w:highlight w:val="none"/>
          <w:lang w:val="en-US" w:eastAsia="zh-CN"/>
        </w:rPr>
      </w:pPr>
      <w:bookmarkStart w:id="128" w:name="_Toc10814"/>
      <w:bookmarkStart w:id="129" w:name="_Toc22246"/>
      <w:bookmarkStart w:id="130" w:name="_Toc19639"/>
      <w:bookmarkStart w:id="131" w:name="_Toc1365116593"/>
      <w:bookmarkStart w:id="132" w:name="_Toc161599529"/>
      <w:bookmarkStart w:id="133" w:name="_Toc481510801"/>
      <w:bookmarkStart w:id="134" w:name="_Toc27938"/>
      <w:r>
        <w:rPr>
          <w:rFonts w:hint="eastAsia" w:ascii="Times New Roman" w:hAnsi="Times New Roman" w:eastAsia="方正楷体_GBK" w:cs="Times New Roman"/>
          <w:b w:val="0"/>
          <w:bCs w:val="0"/>
          <w:color w:val="auto"/>
          <w:sz w:val="32"/>
          <w:szCs w:val="32"/>
          <w:highlight w:val="none"/>
          <w:lang w:val="en-US" w:eastAsia="zh-CN"/>
        </w:rPr>
        <w:t>第三节 绿色电力交易</w:t>
      </w:r>
      <w:bookmarkEnd w:id="128"/>
      <w:bookmarkEnd w:id="129"/>
      <w:bookmarkEnd w:id="130"/>
      <w:bookmarkEnd w:id="131"/>
      <w:bookmarkEnd w:id="132"/>
      <w:bookmarkEnd w:id="133"/>
    </w:p>
    <w:p w14:paraId="30FD16CF">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绿电交易主要包括</w:t>
      </w:r>
      <w:r>
        <w:rPr>
          <w:rFonts w:hint="eastAsia" w:ascii="Times New Roman" w:hAnsi="Times New Roman" w:eastAsia="方正仿宋_GBK" w:cs="Times New Roman"/>
          <w:b w:val="0"/>
          <w:bCs w:val="0"/>
          <w:color w:val="auto"/>
          <w:sz w:val="32"/>
          <w:szCs w:val="32"/>
          <w:highlight w:val="none"/>
          <w:lang w:val="en-US" w:eastAsia="zh-CN"/>
        </w:rPr>
        <w:t>跨省跨区</w:t>
      </w:r>
      <w:r>
        <w:rPr>
          <w:rFonts w:hint="eastAsia" w:ascii="Times New Roman" w:hAnsi="Times New Roman" w:eastAsia="方正仿宋_GBK" w:cs="Times New Roman"/>
          <w:b w:val="0"/>
          <w:bCs w:val="0"/>
          <w:color w:val="auto"/>
          <w:sz w:val="32"/>
          <w:szCs w:val="32"/>
          <w:highlight w:val="none"/>
        </w:rPr>
        <w:t>绿电交易</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含跨经营区绿电交易）、</w:t>
      </w:r>
      <w:r>
        <w:rPr>
          <w:rFonts w:hint="eastAsia" w:ascii="Times New Roman" w:hAnsi="Times New Roman" w:eastAsia="方正仿宋_GBK" w:cs="Times New Roman"/>
          <w:b w:val="0"/>
          <w:bCs w:val="0"/>
          <w:color w:val="auto"/>
          <w:sz w:val="32"/>
          <w:szCs w:val="32"/>
          <w:highlight w:val="none"/>
        </w:rPr>
        <w:t>省内绿电交易，其中：</w:t>
      </w:r>
    </w:p>
    <w:p w14:paraId="3F436819">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跨省跨区</w:t>
      </w:r>
      <w:r>
        <w:rPr>
          <w:rFonts w:hint="eastAsia" w:ascii="Times New Roman" w:hAnsi="Times New Roman" w:eastAsia="方正仿宋_GBK" w:cs="Times New Roman"/>
          <w:b w:val="0"/>
          <w:bCs w:val="0"/>
          <w:color w:val="auto"/>
          <w:sz w:val="32"/>
          <w:szCs w:val="32"/>
          <w:highlight w:val="none"/>
        </w:rPr>
        <w:t>绿电交易是指由电力用户或售电公司等通过电力交易平台聚合的方式向非本省</w:t>
      </w:r>
      <w:r>
        <w:rPr>
          <w:rFonts w:hint="eastAsia" w:ascii="Times New Roman" w:hAnsi="Times New Roman" w:eastAsia="方正仿宋_GBK" w:cs="Times New Roman"/>
          <w:b w:val="0"/>
          <w:bCs w:val="0"/>
          <w:color w:val="auto"/>
          <w:sz w:val="32"/>
          <w:szCs w:val="32"/>
          <w:highlight w:val="none"/>
          <w:lang w:val="en-US" w:eastAsia="zh-CN"/>
        </w:rPr>
        <w:t>电</w:t>
      </w:r>
      <w:r>
        <w:rPr>
          <w:rFonts w:hint="eastAsia" w:ascii="Times New Roman" w:hAnsi="Times New Roman" w:eastAsia="方正仿宋_GBK" w:cs="Times New Roman"/>
          <w:b w:val="0"/>
          <w:bCs w:val="0"/>
          <w:color w:val="auto"/>
          <w:sz w:val="32"/>
          <w:szCs w:val="32"/>
          <w:highlight w:val="none"/>
        </w:rPr>
        <w:t>网控制区的发电企业购买绿色电力</w:t>
      </w:r>
      <w:r>
        <w:rPr>
          <w:rFonts w:hint="eastAsia" w:ascii="Times New Roman" w:hAnsi="Times New Roman" w:eastAsia="方正仿宋_GBK" w:cs="Times New Roman"/>
          <w:b w:val="0"/>
          <w:bCs w:val="0"/>
          <w:color w:val="auto"/>
          <w:sz w:val="32"/>
          <w:szCs w:val="32"/>
          <w:highlight w:val="none"/>
          <w:lang w:val="en-US" w:eastAsia="zh-CN"/>
        </w:rPr>
        <w:t>的交易</w:t>
      </w:r>
      <w:r>
        <w:rPr>
          <w:rFonts w:hint="eastAsia" w:ascii="Times New Roman" w:hAnsi="Times New Roman" w:eastAsia="方正仿宋_GBK" w:cs="Times New Roman"/>
          <w:b w:val="0"/>
          <w:bCs w:val="0"/>
          <w:color w:val="auto"/>
          <w:sz w:val="32"/>
          <w:szCs w:val="32"/>
          <w:highlight w:val="none"/>
        </w:rPr>
        <w:t>。</w:t>
      </w:r>
      <w:r>
        <w:rPr>
          <w:rFonts w:hint="eastAsia" w:ascii="Times New Roman" w:hAnsi="Times New Roman" w:eastAsia="方正仿宋_GBK" w:cs="Times New Roman"/>
          <w:b w:val="0"/>
          <w:bCs w:val="0"/>
          <w:color w:val="auto"/>
          <w:sz w:val="32"/>
          <w:szCs w:val="32"/>
          <w:highlight w:val="none"/>
          <w:lang w:val="en-US" w:eastAsia="zh-CN"/>
        </w:rPr>
        <w:t>跨经营区</w:t>
      </w:r>
      <w:r>
        <w:rPr>
          <w:rFonts w:hint="eastAsia" w:ascii="Times New Roman" w:hAnsi="Times New Roman" w:eastAsia="方正仿宋_GBK" w:cs="Times New Roman"/>
          <w:b w:val="0"/>
          <w:bCs w:val="0"/>
          <w:color w:val="auto"/>
          <w:sz w:val="32"/>
          <w:szCs w:val="32"/>
          <w:highlight w:val="none"/>
        </w:rPr>
        <w:t>绿电交易是指由电力用户或售电公司向</w:t>
      </w:r>
      <w:r>
        <w:rPr>
          <w:rFonts w:hint="eastAsia" w:ascii="Times New Roman" w:hAnsi="Times New Roman" w:eastAsia="方正仿宋_GBK" w:cs="Times New Roman"/>
          <w:b w:val="0"/>
          <w:bCs w:val="0"/>
          <w:color w:val="auto"/>
          <w:sz w:val="32"/>
          <w:szCs w:val="32"/>
          <w:highlight w:val="none"/>
          <w:lang w:val="en-US" w:eastAsia="zh-CN"/>
        </w:rPr>
        <w:t>跨经营区</w:t>
      </w:r>
      <w:r>
        <w:rPr>
          <w:rFonts w:hint="eastAsia" w:ascii="Times New Roman" w:hAnsi="Times New Roman" w:eastAsia="方正仿宋_GBK" w:cs="Times New Roman"/>
          <w:b w:val="0"/>
          <w:bCs w:val="0"/>
          <w:color w:val="auto"/>
          <w:sz w:val="32"/>
          <w:szCs w:val="32"/>
          <w:highlight w:val="none"/>
        </w:rPr>
        <w:t>的发电企业购买绿色电力</w:t>
      </w:r>
      <w:r>
        <w:rPr>
          <w:rFonts w:hint="eastAsia" w:ascii="Times New Roman" w:hAnsi="Times New Roman" w:eastAsia="方正仿宋_GBK" w:cs="Times New Roman"/>
          <w:b w:val="0"/>
          <w:bCs w:val="0"/>
          <w:color w:val="auto"/>
          <w:sz w:val="32"/>
          <w:szCs w:val="32"/>
          <w:highlight w:val="none"/>
          <w:lang w:val="en-US" w:eastAsia="zh-CN"/>
        </w:rPr>
        <w:t>的交易。</w:t>
      </w:r>
    </w:p>
    <w:p w14:paraId="3AA12EC9">
      <w:pPr>
        <w:pageBreakBefore w:val="0"/>
        <w:numPr>
          <w:ilvl w:val="-1"/>
          <w:numId w:val="0"/>
        </w:numPr>
        <w:kinsoku/>
        <w:wordWrap/>
        <w:overflowPunct/>
        <w:topLinePunct w:val="0"/>
        <w:autoSpaceDN/>
        <w:bidi w:val="0"/>
        <w:adjustRightInd w:val="0"/>
        <w:snapToGrid w:val="0"/>
        <w:spacing w:line="588" w:lineRule="exact"/>
        <w:ind w:leftChars="0" w:firstLine="640" w:firstLineChars="20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省内绿电交易是指由电力用户或售电公司等通过电力直接交易的方式向计入本省</w:t>
      </w:r>
      <w:r>
        <w:rPr>
          <w:rFonts w:hint="eastAsia" w:ascii="Times New Roman" w:hAnsi="Times New Roman" w:eastAsia="方正仿宋_GBK" w:cs="Times New Roman"/>
          <w:b w:val="0"/>
          <w:bCs w:val="0"/>
          <w:color w:val="auto"/>
          <w:sz w:val="32"/>
          <w:szCs w:val="32"/>
          <w:highlight w:val="none"/>
          <w:lang w:val="en-US" w:eastAsia="zh-CN"/>
        </w:rPr>
        <w:t>电</w:t>
      </w:r>
      <w:r>
        <w:rPr>
          <w:rFonts w:hint="eastAsia" w:ascii="Times New Roman" w:hAnsi="Times New Roman" w:eastAsia="方正仿宋_GBK" w:cs="Times New Roman"/>
          <w:b w:val="0"/>
          <w:bCs w:val="0"/>
          <w:color w:val="auto"/>
          <w:sz w:val="32"/>
          <w:szCs w:val="32"/>
          <w:highlight w:val="none"/>
        </w:rPr>
        <w:t>网控制区的发电企业购买绿色电力</w:t>
      </w:r>
      <w:r>
        <w:rPr>
          <w:rFonts w:hint="eastAsia" w:ascii="Times New Roman" w:hAnsi="Times New Roman" w:eastAsia="方正仿宋_GBK" w:cs="Times New Roman"/>
          <w:b w:val="0"/>
          <w:bCs w:val="0"/>
          <w:color w:val="auto"/>
          <w:sz w:val="32"/>
          <w:szCs w:val="32"/>
          <w:highlight w:val="none"/>
          <w:lang w:val="en-US" w:eastAsia="zh-CN"/>
        </w:rPr>
        <w:t>的交易</w:t>
      </w:r>
      <w:r>
        <w:rPr>
          <w:rFonts w:hint="eastAsia" w:ascii="Times New Roman" w:hAnsi="Times New Roman" w:eastAsia="方正仿宋_GBK" w:cs="Times New Roman"/>
          <w:b w:val="0"/>
          <w:bCs w:val="0"/>
          <w:color w:val="auto"/>
          <w:sz w:val="32"/>
          <w:szCs w:val="32"/>
          <w:highlight w:val="none"/>
        </w:rPr>
        <w:t>。</w:t>
      </w:r>
    </w:p>
    <w:p w14:paraId="3DC77AF2">
      <w:pPr>
        <w:numPr>
          <w:ilvl w:val="0"/>
          <w:numId w:val="4"/>
        </w:numPr>
        <w:adjustRightInd w:val="0"/>
        <w:snapToGrid w:val="0"/>
        <w:spacing w:line="588" w:lineRule="exact"/>
        <w:ind w:left="-11" w:firstLine="641"/>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绿电交易应确保发电企业与电力用户一一对应，实现绿电环境价值可追踪溯源。</w:t>
      </w:r>
    </w:p>
    <w:p w14:paraId="6C8B9749">
      <w:pPr>
        <w:numPr>
          <w:ilvl w:val="0"/>
          <w:numId w:val="0"/>
        </w:numPr>
        <w:adjustRightInd w:val="0"/>
        <w:snapToGrid w:val="0"/>
        <w:spacing w:line="588" w:lineRule="exact"/>
        <w:ind w:left="0" w:leftChars="0" w:firstLine="640" w:firstLineChars="20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shd w:val="clear" w:color="auto" w:fill="FFFFFF"/>
          <w:lang w:val="en-US" w:eastAsia="zh-CN"/>
        </w:rPr>
        <w:t>鼓励经营主体参与数年绿电交易，</w:t>
      </w:r>
      <w:r>
        <w:rPr>
          <w:rFonts w:hint="eastAsia" w:ascii="Times New Roman" w:hAnsi="Times New Roman" w:eastAsia="方正仿宋_GBK" w:cs="Times New Roman"/>
          <w:b w:val="0"/>
          <w:bCs w:val="0"/>
          <w:color w:val="auto"/>
          <w:sz w:val="32"/>
          <w:szCs w:val="32"/>
          <w:shd w:val="clear" w:color="auto" w:fill="FFFFFF"/>
        </w:rPr>
        <w:t>探索数年绿电交易常态化开市机制。</w:t>
      </w:r>
    </w:p>
    <w:p w14:paraId="69D5DCFE">
      <w:pPr>
        <w:numPr>
          <w:ilvl w:val="0"/>
          <w:numId w:val="4"/>
        </w:numPr>
        <w:adjustRightInd w:val="0"/>
        <w:snapToGrid w:val="0"/>
        <w:spacing w:line="588" w:lineRule="exact"/>
        <w:ind w:left="-11" w:firstLine="641"/>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售电公司</w:t>
      </w:r>
      <w:r>
        <w:rPr>
          <w:rFonts w:hint="eastAsia" w:ascii="Times New Roman" w:hAnsi="Times New Roman" w:eastAsia="方正仿宋_GBK" w:cs="Times New Roman"/>
          <w:b w:val="0"/>
          <w:bCs w:val="0"/>
          <w:color w:val="auto"/>
          <w:sz w:val="32"/>
          <w:szCs w:val="32"/>
          <w:highlight w:val="none"/>
          <w:lang w:val="en-US" w:eastAsia="zh-CN"/>
        </w:rPr>
        <w:t>参与绿电交易时，应提前与电力</w:t>
      </w:r>
      <w:r>
        <w:rPr>
          <w:rFonts w:hint="eastAsia" w:ascii="Times New Roman" w:hAnsi="Times New Roman" w:eastAsia="方正仿宋_GBK" w:cs="Times New Roman"/>
          <w:b w:val="0"/>
          <w:bCs w:val="0"/>
          <w:color w:val="auto"/>
          <w:sz w:val="32"/>
          <w:szCs w:val="32"/>
          <w:highlight w:val="none"/>
        </w:rPr>
        <w:t>用户建立代理服务关系</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并在</w:t>
      </w:r>
      <w:r>
        <w:rPr>
          <w:rFonts w:hint="eastAsia" w:ascii="Times New Roman" w:hAnsi="Times New Roman" w:eastAsia="方正仿宋_GBK" w:cs="Times New Roman"/>
          <w:b w:val="0"/>
          <w:bCs w:val="0"/>
          <w:color w:val="auto"/>
          <w:sz w:val="32"/>
          <w:szCs w:val="32"/>
          <w:highlight w:val="none"/>
        </w:rPr>
        <w:t>交易</w:t>
      </w:r>
      <w:r>
        <w:rPr>
          <w:rFonts w:hint="eastAsia" w:ascii="Times New Roman" w:hAnsi="Times New Roman" w:eastAsia="方正仿宋_GBK" w:cs="Times New Roman"/>
          <w:b w:val="0"/>
          <w:bCs w:val="0"/>
          <w:color w:val="auto"/>
          <w:sz w:val="32"/>
          <w:szCs w:val="32"/>
          <w:highlight w:val="none"/>
          <w:lang w:val="en-US" w:eastAsia="zh-CN"/>
        </w:rPr>
        <w:t>申报时将绿电需求电量全部</w:t>
      </w:r>
      <w:r>
        <w:rPr>
          <w:rFonts w:hint="eastAsia" w:ascii="Times New Roman" w:hAnsi="Times New Roman" w:eastAsia="方正仿宋_GBK" w:cs="Times New Roman"/>
          <w:b w:val="0"/>
          <w:bCs w:val="0"/>
          <w:color w:val="auto"/>
          <w:sz w:val="32"/>
          <w:szCs w:val="32"/>
          <w:highlight w:val="none"/>
        </w:rPr>
        <w:t>关联至</w:t>
      </w:r>
      <w:r>
        <w:rPr>
          <w:rFonts w:hint="eastAsia" w:ascii="Times New Roman" w:hAnsi="Times New Roman" w:eastAsia="方正仿宋_GBK" w:cs="Times New Roman"/>
          <w:b w:val="0"/>
          <w:bCs w:val="0"/>
          <w:color w:val="auto"/>
          <w:sz w:val="32"/>
          <w:szCs w:val="32"/>
          <w:highlight w:val="none"/>
          <w:lang w:val="en-US" w:eastAsia="zh-CN"/>
        </w:rPr>
        <w:t>代理</w:t>
      </w:r>
      <w:r>
        <w:rPr>
          <w:rFonts w:hint="eastAsia" w:ascii="Times New Roman" w:hAnsi="Times New Roman" w:eastAsia="方正仿宋_GBK" w:cs="Times New Roman"/>
          <w:b w:val="0"/>
          <w:bCs w:val="0"/>
          <w:color w:val="auto"/>
          <w:sz w:val="32"/>
          <w:szCs w:val="32"/>
          <w:highlight w:val="none"/>
        </w:rPr>
        <w:t>用户</w:t>
      </w:r>
      <w:r>
        <w:rPr>
          <w:rFonts w:hint="eastAsia" w:ascii="Times New Roman" w:hAnsi="Times New Roman" w:eastAsia="方正仿宋_GBK" w:cs="Times New Roman"/>
          <w:b w:val="0"/>
          <w:bCs w:val="0"/>
          <w:color w:val="auto"/>
          <w:sz w:val="32"/>
          <w:szCs w:val="32"/>
          <w:highlight w:val="none"/>
          <w:lang w:eastAsia="zh-CN"/>
        </w:rPr>
        <w:t>。</w:t>
      </w:r>
    </w:p>
    <w:p w14:paraId="623A4D1F">
      <w:pPr>
        <w:pageBreakBefore w:val="0"/>
        <w:numPr>
          <w:ilvl w:val="0"/>
          <w:numId w:val="4"/>
        </w:numPr>
        <w:kinsoku/>
        <w:wordWrap/>
        <w:overflowPunct/>
        <w:topLinePunct w:val="0"/>
        <w:autoSpaceDN/>
        <w:bidi w:val="0"/>
        <w:adjustRightInd w:val="0"/>
        <w:snapToGrid w:val="0"/>
        <w:spacing w:line="588" w:lineRule="exact"/>
        <w:ind w:left="-11" w:firstLine="641" w:firstLineChars="0"/>
        <w:rPr>
          <w:rFonts w:hint="eastAsia" w:ascii="Times New Roman" w:hAnsi="Times New Roman" w:eastAsia="方正仿宋_GBK" w:cs="Times New Roman"/>
          <w:b w:val="0"/>
          <w:bCs w:val="0"/>
          <w:color w:val="auto"/>
          <w:kern w:val="2"/>
          <w:sz w:val="32"/>
          <w:szCs w:val="32"/>
          <w:highlight w:val="none"/>
        </w:rPr>
      </w:pPr>
      <w:r>
        <w:rPr>
          <w:rFonts w:hint="eastAsia" w:ascii="Times New Roman" w:hAnsi="Times New Roman" w:eastAsia="方正仿宋_GBK" w:cs="Times New Roman"/>
          <w:b w:val="0"/>
          <w:bCs w:val="0"/>
          <w:color w:val="auto"/>
          <w:kern w:val="2"/>
          <w:sz w:val="32"/>
          <w:szCs w:val="32"/>
          <w:highlight w:val="none"/>
          <w:lang w:val="en-US" w:eastAsia="zh-CN"/>
        </w:rPr>
        <w:t>虚拟电厂聚合</w:t>
      </w:r>
      <w:r>
        <w:rPr>
          <w:rFonts w:hint="eastAsia" w:ascii="Times New Roman" w:hAnsi="Times New Roman" w:eastAsia="方正仿宋_GBK" w:cs="Times New Roman"/>
          <w:b w:val="0"/>
          <w:bCs w:val="0"/>
          <w:color w:val="auto"/>
          <w:kern w:val="2"/>
          <w:sz w:val="32"/>
          <w:szCs w:val="32"/>
          <w:highlight w:val="none"/>
          <w:lang w:eastAsia="zh"/>
        </w:rPr>
        <w:t>分布式</w:t>
      </w:r>
      <w:r>
        <w:rPr>
          <w:rFonts w:hint="eastAsia" w:ascii="Times New Roman" w:hAnsi="Times New Roman" w:eastAsia="方正仿宋_GBK" w:cs="Times New Roman"/>
          <w:b w:val="0"/>
          <w:bCs w:val="0"/>
          <w:strike w:val="0"/>
          <w:color w:val="auto"/>
          <w:kern w:val="2"/>
          <w:sz w:val="32"/>
          <w:szCs w:val="32"/>
          <w:highlight w:val="none"/>
          <w:lang w:eastAsia="zh-CN"/>
        </w:rPr>
        <w:t>新能源</w:t>
      </w:r>
      <w:r>
        <w:rPr>
          <w:rFonts w:hint="eastAsia" w:ascii="Times New Roman" w:hAnsi="Times New Roman" w:eastAsia="方正仿宋_GBK" w:cs="Times New Roman"/>
          <w:b w:val="0"/>
          <w:bCs w:val="0"/>
          <w:color w:val="auto"/>
          <w:kern w:val="2"/>
          <w:sz w:val="32"/>
          <w:szCs w:val="32"/>
          <w:highlight w:val="none"/>
          <w:lang w:val="en-US" w:eastAsia="zh-CN"/>
        </w:rPr>
        <w:t>参与绿电交易时，应提前与分布式新能源建立聚合服务关系，</w:t>
      </w:r>
      <w:r>
        <w:rPr>
          <w:rFonts w:hint="eastAsia" w:ascii="Times New Roman" w:hAnsi="Times New Roman" w:eastAsia="方正仿宋_GBK" w:cs="Times New Roman"/>
          <w:b w:val="0"/>
          <w:bCs w:val="0"/>
          <w:strike w:val="0"/>
          <w:color w:val="auto"/>
          <w:kern w:val="2"/>
          <w:sz w:val="32"/>
          <w:szCs w:val="32"/>
          <w:highlight w:val="none"/>
          <w:lang w:val="en-US" w:eastAsia="zh-CN"/>
        </w:rPr>
        <w:t>并在交易申报时</w:t>
      </w:r>
      <w:r>
        <w:rPr>
          <w:rFonts w:hint="eastAsia" w:ascii="Times New Roman" w:hAnsi="Times New Roman" w:eastAsia="方正仿宋_GBK" w:cs="Times New Roman"/>
          <w:b w:val="0"/>
          <w:bCs w:val="0"/>
          <w:color w:val="auto"/>
          <w:kern w:val="2"/>
          <w:sz w:val="32"/>
          <w:szCs w:val="32"/>
          <w:highlight w:val="none"/>
          <w:lang w:val="en-US" w:eastAsia="zh-CN"/>
        </w:rPr>
        <w:t>将</w:t>
      </w:r>
      <w:r>
        <w:rPr>
          <w:rFonts w:hint="eastAsia" w:ascii="Times New Roman" w:hAnsi="Times New Roman" w:eastAsia="方正仿宋_GBK" w:cs="Times New Roman"/>
          <w:b w:val="0"/>
          <w:bCs w:val="0"/>
          <w:color w:val="auto"/>
          <w:kern w:val="2"/>
          <w:sz w:val="32"/>
          <w:szCs w:val="32"/>
          <w:highlight w:val="none"/>
        </w:rPr>
        <w:t>绿电</w:t>
      </w:r>
      <w:r>
        <w:rPr>
          <w:rFonts w:hint="eastAsia" w:ascii="Times New Roman" w:hAnsi="Times New Roman" w:eastAsia="方正仿宋_GBK" w:cs="Times New Roman"/>
          <w:b w:val="0"/>
          <w:bCs w:val="0"/>
          <w:color w:val="auto"/>
          <w:kern w:val="2"/>
          <w:sz w:val="32"/>
          <w:szCs w:val="32"/>
          <w:highlight w:val="none"/>
          <w:lang w:val="en-US" w:eastAsia="zh-CN"/>
        </w:rPr>
        <w:t>申报</w:t>
      </w:r>
      <w:r>
        <w:rPr>
          <w:rFonts w:hint="eastAsia" w:ascii="Times New Roman" w:hAnsi="Times New Roman" w:eastAsia="方正仿宋_GBK" w:cs="Times New Roman"/>
          <w:b w:val="0"/>
          <w:bCs w:val="0"/>
          <w:color w:val="auto"/>
          <w:kern w:val="2"/>
          <w:sz w:val="32"/>
          <w:szCs w:val="32"/>
          <w:highlight w:val="none"/>
        </w:rPr>
        <w:t>电量</w:t>
      </w:r>
      <w:r>
        <w:rPr>
          <w:rFonts w:hint="eastAsia" w:ascii="Times New Roman" w:hAnsi="Times New Roman" w:eastAsia="方正仿宋_GBK" w:cs="Times New Roman"/>
          <w:b w:val="0"/>
          <w:bCs w:val="0"/>
          <w:color w:val="auto"/>
          <w:kern w:val="2"/>
          <w:sz w:val="32"/>
          <w:szCs w:val="32"/>
          <w:highlight w:val="none"/>
          <w:lang w:val="en-US" w:eastAsia="zh-CN"/>
        </w:rPr>
        <w:t>全部关联</w:t>
      </w:r>
      <w:r>
        <w:rPr>
          <w:rFonts w:hint="eastAsia" w:ascii="Times New Roman" w:hAnsi="Times New Roman" w:eastAsia="方正仿宋_GBK" w:cs="Times New Roman"/>
          <w:b w:val="0"/>
          <w:bCs w:val="0"/>
          <w:color w:val="auto"/>
          <w:kern w:val="2"/>
          <w:sz w:val="32"/>
          <w:szCs w:val="32"/>
          <w:highlight w:val="none"/>
        </w:rPr>
        <w:t>至各分布式</w:t>
      </w:r>
      <w:r>
        <w:rPr>
          <w:rFonts w:hint="eastAsia" w:ascii="Times New Roman" w:hAnsi="Times New Roman" w:eastAsia="方正仿宋_GBK" w:cs="Times New Roman"/>
          <w:b w:val="0"/>
          <w:bCs w:val="0"/>
          <w:strike w:val="0"/>
          <w:color w:val="auto"/>
          <w:kern w:val="2"/>
          <w:sz w:val="32"/>
          <w:szCs w:val="32"/>
          <w:highlight w:val="none"/>
          <w:lang w:eastAsia="zh-CN"/>
        </w:rPr>
        <w:t>新能源</w:t>
      </w:r>
      <w:r>
        <w:rPr>
          <w:rFonts w:hint="eastAsia" w:ascii="Times New Roman" w:hAnsi="Times New Roman" w:eastAsia="方正仿宋_GBK" w:cs="Times New Roman"/>
          <w:b w:val="0"/>
          <w:bCs w:val="0"/>
          <w:color w:val="auto"/>
          <w:kern w:val="2"/>
          <w:sz w:val="32"/>
          <w:szCs w:val="32"/>
          <w:highlight w:val="none"/>
        </w:rPr>
        <w:t>项目。</w:t>
      </w:r>
    </w:p>
    <w:p w14:paraId="643A682E">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绿电交易合同</w:t>
      </w:r>
      <w:r>
        <w:rPr>
          <w:rFonts w:hint="eastAsia" w:ascii="Times New Roman" w:hAnsi="Times New Roman" w:eastAsia="方正仿宋_GBK" w:cs="Times New Roman"/>
          <w:b w:val="0"/>
          <w:bCs w:val="0"/>
          <w:color w:val="auto"/>
          <w:sz w:val="32"/>
          <w:szCs w:val="32"/>
          <w:highlight w:val="none"/>
          <w:lang w:eastAsia="zh-CN"/>
        </w:rPr>
        <w:t>在</w:t>
      </w:r>
      <w:r>
        <w:rPr>
          <w:rFonts w:hint="eastAsia" w:ascii="Times New Roman" w:hAnsi="Times New Roman" w:eastAsia="方正仿宋_GBK" w:cs="Times New Roman"/>
          <w:b w:val="0"/>
          <w:bCs w:val="0"/>
          <w:color w:val="auto"/>
          <w:sz w:val="32"/>
          <w:szCs w:val="32"/>
          <w:highlight w:val="none"/>
        </w:rPr>
        <w:t>各方协商一致后，可进行分月电量</w:t>
      </w:r>
      <w:r>
        <w:rPr>
          <w:rFonts w:hint="eastAsia" w:ascii="Times New Roman" w:hAnsi="Times New Roman" w:eastAsia="方正仿宋_GBK" w:cs="Times New Roman"/>
          <w:b w:val="0"/>
          <w:bCs w:val="0"/>
          <w:color w:val="auto"/>
          <w:sz w:val="32"/>
          <w:szCs w:val="32"/>
          <w:highlight w:val="none"/>
          <w:lang w:val="en-US" w:eastAsia="zh-CN"/>
        </w:rPr>
        <w:t>调整</w:t>
      </w:r>
      <w:r>
        <w:rPr>
          <w:rFonts w:hint="eastAsia" w:ascii="Times New Roman" w:hAnsi="Times New Roman" w:eastAsia="方正仿宋_GBK" w:cs="Times New Roman"/>
          <w:b w:val="0"/>
          <w:bCs w:val="0"/>
          <w:color w:val="auto"/>
          <w:sz w:val="32"/>
          <w:szCs w:val="32"/>
          <w:highlight w:val="none"/>
        </w:rPr>
        <w:t>、转让交易等，相关调整或转让</w:t>
      </w:r>
      <w:r>
        <w:rPr>
          <w:rFonts w:hint="eastAsia" w:ascii="Times New Roman" w:hAnsi="Times New Roman" w:eastAsia="方正仿宋_GBK" w:cs="Times New Roman"/>
          <w:b w:val="0"/>
          <w:bCs w:val="0"/>
          <w:color w:val="auto"/>
          <w:sz w:val="32"/>
          <w:szCs w:val="32"/>
          <w:highlight w:val="none"/>
          <w:lang w:val="en-US" w:eastAsia="zh-CN"/>
        </w:rPr>
        <w:t>交易</w:t>
      </w:r>
      <w:r>
        <w:rPr>
          <w:rFonts w:hint="eastAsia" w:ascii="Times New Roman" w:hAnsi="Times New Roman" w:eastAsia="方正仿宋_GBK" w:cs="Times New Roman"/>
          <w:b w:val="0"/>
          <w:bCs w:val="0"/>
          <w:color w:val="auto"/>
          <w:sz w:val="32"/>
          <w:szCs w:val="32"/>
          <w:highlight w:val="none"/>
        </w:rPr>
        <w:t>通过安全校核后生效。</w:t>
      </w:r>
      <w:r>
        <w:rPr>
          <w:rFonts w:hint="eastAsia" w:ascii="Times New Roman" w:hAnsi="Times New Roman" w:eastAsia="方正仿宋_GBK" w:cs="Times New Roman"/>
          <w:b w:val="0"/>
          <w:bCs w:val="0"/>
          <w:color w:val="auto"/>
          <w:sz w:val="32"/>
          <w:szCs w:val="32"/>
          <w:highlight w:val="none"/>
          <w:lang w:val="en-US" w:eastAsia="zh-CN"/>
        </w:rPr>
        <w:t>绿电合同转让交易应一并转让对应的绿电环境价值。</w:t>
      </w:r>
    </w:p>
    <w:bookmarkEnd w:id="134"/>
    <w:p w14:paraId="5E1FDA5F">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
        </w:rPr>
      </w:pPr>
      <w:bookmarkStart w:id="135" w:name="_Toc20064"/>
      <w:bookmarkStart w:id="136" w:name="_Toc1101"/>
      <w:bookmarkStart w:id="137" w:name="_Toc248959224"/>
      <w:bookmarkStart w:id="138" w:name="_Toc5645"/>
      <w:bookmarkStart w:id="139" w:name="_Toc13352"/>
      <w:bookmarkStart w:id="140" w:name="_Toc2578"/>
      <w:bookmarkStart w:id="141" w:name="_Toc5629"/>
      <w:bookmarkStart w:id="142" w:name="_Toc25208"/>
      <w:bookmarkStart w:id="143" w:name="_Toc1299088443"/>
      <w:bookmarkStart w:id="144" w:name="_Toc29421"/>
      <w:bookmarkStart w:id="145" w:name="_Toc194129840"/>
      <w:bookmarkStart w:id="146" w:name="_Toc6243"/>
      <w:bookmarkStart w:id="147" w:name="_Toc228058374"/>
      <w:bookmarkStart w:id="148" w:name="_Toc24453"/>
      <w:r>
        <w:rPr>
          <w:rFonts w:hint="eastAsia" w:ascii="Times New Roman" w:hAnsi="Times New Roman" w:eastAsia="黑体" w:cs="Times New Roman"/>
          <w:b w:val="0"/>
          <w:bCs w:val="0"/>
          <w:color w:val="auto"/>
          <w:sz w:val="32"/>
          <w:szCs w:val="32"/>
          <w:highlight w:val="none"/>
          <w:lang w:eastAsia="zh"/>
        </w:rPr>
        <w:t>第</w:t>
      </w:r>
      <w:r>
        <w:rPr>
          <w:rFonts w:hint="eastAsia" w:ascii="Times New Roman" w:hAnsi="Times New Roman" w:eastAsia="黑体" w:cs="Times New Roman"/>
          <w:b w:val="0"/>
          <w:bCs w:val="0"/>
          <w:color w:val="auto"/>
          <w:sz w:val="32"/>
          <w:szCs w:val="32"/>
          <w:highlight w:val="none"/>
          <w:lang w:val="en-US" w:eastAsia="zh-CN"/>
        </w:rPr>
        <w:t>六</w:t>
      </w:r>
      <w:r>
        <w:rPr>
          <w:rFonts w:hint="eastAsia" w:ascii="Times New Roman" w:hAnsi="Times New Roman" w:eastAsia="黑体" w:cs="Times New Roman"/>
          <w:b w:val="0"/>
          <w:bCs w:val="0"/>
          <w:color w:val="auto"/>
          <w:sz w:val="32"/>
          <w:szCs w:val="32"/>
          <w:highlight w:val="none"/>
          <w:lang w:val="en-US" w:eastAsia="zh"/>
        </w:rPr>
        <w:t>章</w:t>
      </w:r>
      <w:r>
        <w:rPr>
          <w:rFonts w:hint="eastAsia" w:ascii="Times New Roman" w:hAnsi="Times New Roman" w:eastAsia="黑体" w:cs="Times New Roman"/>
          <w:b w:val="0"/>
          <w:bCs w:val="0"/>
          <w:color w:val="auto"/>
          <w:sz w:val="32"/>
          <w:szCs w:val="32"/>
          <w:highlight w:val="none"/>
          <w:lang w:eastAsia="zh"/>
        </w:rPr>
        <w:t xml:space="preserve"> </w:t>
      </w:r>
      <w:r>
        <w:rPr>
          <w:rFonts w:hint="eastAsia" w:ascii="Times New Roman" w:hAnsi="Times New Roman" w:eastAsia="黑体" w:cs="Times New Roman"/>
          <w:b w:val="0"/>
          <w:bCs w:val="0"/>
          <w:color w:val="auto"/>
          <w:sz w:val="32"/>
          <w:szCs w:val="32"/>
          <w:highlight w:val="none"/>
          <w:lang w:val="en-US" w:eastAsia="zh-CN"/>
        </w:rPr>
        <w:t>交易</w:t>
      </w:r>
      <w:r>
        <w:rPr>
          <w:rFonts w:hint="eastAsia" w:ascii="Times New Roman" w:hAnsi="Times New Roman" w:eastAsia="黑体" w:cs="Times New Roman"/>
          <w:b w:val="0"/>
          <w:bCs w:val="0"/>
          <w:color w:val="auto"/>
          <w:sz w:val="32"/>
          <w:szCs w:val="32"/>
          <w:highlight w:val="none"/>
          <w:lang w:eastAsia="zh"/>
        </w:rPr>
        <w:t>校核</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42BCEB7">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电力中长期</w:t>
      </w:r>
      <w:r>
        <w:rPr>
          <w:rFonts w:hint="eastAsia" w:ascii="Times New Roman" w:hAnsi="Times New Roman" w:eastAsia="方正仿宋_GBK" w:cs="Times New Roman"/>
          <w:b w:val="0"/>
          <w:bCs w:val="0"/>
          <w:color w:val="auto"/>
          <w:sz w:val="32"/>
          <w:szCs w:val="32"/>
          <w:highlight w:val="none"/>
          <w:lang w:val="en-US" w:eastAsia="zh-CN"/>
        </w:rPr>
        <w:t>市场</w:t>
      </w:r>
      <w:r>
        <w:rPr>
          <w:rFonts w:hint="eastAsia" w:ascii="Times New Roman" w:hAnsi="Times New Roman" w:eastAsia="方正仿宋_GBK" w:cs="Times New Roman"/>
          <w:b w:val="0"/>
          <w:bCs w:val="0"/>
          <w:color w:val="auto"/>
          <w:sz w:val="32"/>
          <w:szCs w:val="32"/>
          <w:highlight w:val="none"/>
          <w:lang w:val="en-US" w:eastAsia="zh-CN"/>
        </w:rPr>
        <w:t>交易</w:t>
      </w:r>
      <w:r>
        <w:rPr>
          <w:rFonts w:hint="eastAsia" w:ascii="Times New Roman" w:hAnsi="Times New Roman" w:eastAsia="方正仿宋_GBK" w:cs="Times New Roman"/>
          <w:b w:val="0"/>
          <w:bCs w:val="0"/>
          <w:color w:val="auto"/>
          <w:sz w:val="32"/>
          <w:szCs w:val="32"/>
          <w:highlight w:val="none"/>
        </w:rPr>
        <w:t>校核</w:t>
      </w:r>
      <w:r>
        <w:rPr>
          <w:rFonts w:hint="eastAsia" w:ascii="Times New Roman" w:hAnsi="Times New Roman" w:eastAsia="方正仿宋_GBK" w:cs="Times New Roman"/>
          <w:b w:val="0"/>
          <w:bCs w:val="0"/>
          <w:color w:val="auto"/>
          <w:sz w:val="32"/>
          <w:szCs w:val="32"/>
          <w:highlight w:val="none"/>
          <w:lang w:val="en-US" w:eastAsia="zh-CN"/>
        </w:rPr>
        <w:t>包含交易出清校核和电网安全校核，交易出清校核由电力交易机构负责</w:t>
      </w:r>
      <w:r>
        <w:rPr>
          <w:rFonts w:hint="eastAsia" w:ascii="Times New Roman" w:hAnsi="Times New Roman" w:eastAsia="方正仿宋_GBK" w:cs="Times New Roman"/>
          <w:b w:val="0"/>
          <w:bCs w:val="0"/>
          <w:color w:val="auto"/>
          <w:sz w:val="32"/>
          <w:szCs w:val="32"/>
          <w:highlight w:val="none"/>
          <w:lang w:val="en-US" w:eastAsia="zh"/>
        </w:rPr>
        <w:t>，</w:t>
      </w:r>
      <w:r>
        <w:rPr>
          <w:rFonts w:hint="eastAsia" w:ascii="Times New Roman" w:hAnsi="Times New Roman" w:eastAsia="方正仿宋_GBK" w:cs="Times New Roman"/>
          <w:b w:val="0"/>
          <w:bCs w:val="0"/>
          <w:color w:val="auto"/>
          <w:sz w:val="32"/>
          <w:szCs w:val="32"/>
          <w:highlight w:val="none"/>
          <w:lang w:val="en-US" w:eastAsia="zh-CN"/>
        </w:rPr>
        <w:t>电网安全校核由电力调度机构负责。</w:t>
      </w:r>
    </w:p>
    <w:p w14:paraId="19468E95">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color w:val="auto"/>
          <w:highlight w:val="none"/>
          <w:lang w:val="en-US"/>
        </w:rPr>
      </w:pPr>
      <w:r>
        <w:rPr>
          <w:rFonts w:hint="eastAsia" w:ascii="Times New Roman" w:hAnsi="Times New Roman" w:eastAsia="方正仿宋_GBK" w:cs="Times New Roman"/>
          <w:b w:val="0"/>
          <w:bCs w:val="0"/>
          <w:color w:val="auto"/>
          <w:sz w:val="32"/>
          <w:szCs w:val="32"/>
          <w:highlight w:val="none"/>
          <w:lang w:val="en-US" w:eastAsia="zh-CN"/>
        </w:rPr>
        <w:t>交易出清校核</w:t>
      </w:r>
      <w:r>
        <w:rPr>
          <w:rFonts w:hint="eastAsia" w:ascii="Times New Roman" w:hAnsi="Times New Roman" w:eastAsia="方正仿宋_GBK" w:cs="Times New Roman"/>
          <w:b w:val="0"/>
          <w:bCs w:val="0"/>
          <w:color w:val="auto"/>
          <w:sz w:val="32"/>
          <w:szCs w:val="32"/>
          <w:highlight w:val="none"/>
        </w:rPr>
        <w:t>的主要内容包括：交易</w:t>
      </w:r>
      <w:r>
        <w:rPr>
          <w:rFonts w:hint="eastAsia" w:ascii="Times New Roman" w:hAnsi="Times New Roman" w:eastAsia="方正仿宋_GBK" w:cs="Times New Roman"/>
          <w:b w:val="0"/>
          <w:bCs w:val="0"/>
          <w:color w:val="auto"/>
          <w:sz w:val="32"/>
          <w:szCs w:val="32"/>
          <w:highlight w:val="none"/>
          <w:lang w:val="en-US" w:eastAsia="zh-CN"/>
        </w:rPr>
        <w:t>电力</w:t>
      </w:r>
      <w:r>
        <w:rPr>
          <w:rFonts w:hint="eastAsia" w:ascii="Times New Roman" w:hAnsi="Times New Roman" w:eastAsia="方正仿宋_GBK" w:cs="Times New Roman"/>
          <w:b w:val="0"/>
          <w:bCs w:val="0"/>
          <w:color w:val="auto"/>
          <w:sz w:val="32"/>
          <w:szCs w:val="32"/>
          <w:highlight w:val="none"/>
        </w:rPr>
        <w:t>电量</w:t>
      </w:r>
      <w:r>
        <w:rPr>
          <w:rFonts w:hint="eastAsia" w:ascii="Times New Roman" w:hAnsi="Times New Roman" w:eastAsia="方正仿宋_GBK" w:cs="Times New Roman"/>
          <w:b w:val="0"/>
          <w:bCs w:val="0"/>
          <w:color w:val="auto"/>
          <w:sz w:val="32"/>
          <w:szCs w:val="32"/>
          <w:highlight w:val="none"/>
          <w:lang w:val="en-US" w:eastAsia="zh-CN"/>
        </w:rPr>
        <w:t>限额校核</w:t>
      </w:r>
      <w:r>
        <w:rPr>
          <w:rFonts w:hint="eastAsia" w:ascii="Times New Roman" w:hAnsi="Times New Roman" w:eastAsia="方正仿宋_GBK" w:cs="Times New Roman"/>
          <w:b w:val="0"/>
          <w:bCs w:val="0"/>
          <w:color w:val="auto"/>
          <w:sz w:val="32"/>
          <w:szCs w:val="32"/>
          <w:highlight w:val="none"/>
        </w:rPr>
        <w:t>、交易</w:t>
      </w:r>
      <w:r>
        <w:rPr>
          <w:rFonts w:hint="eastAsia" w:ascii="Times New Roman" w:hAnsi="Times New Roman" w:eastAsia="方正仿宋_GBK" w:cs="Times New Roman"/>
          <w:b w:val="0"/>
          <w:bCs w:val="0"/>
          <w:color w:val="auto"/>
          <w:sz w:val="32"/>
          <w:szCs w:val="32"/>
          <w:highlight w:val="none"/>
          <w:lang w:val="en-US" w:eastAsia="zh-CN"/>
        </w:rPr>
        <w:t>限价校核</w:t>
      </w:r>
      <w:r>
        <w:rPr>
          <w:rFonts w:hint="eastAsia" w:ascii="Times New Roman" w:hAnsi="Times New Roman" w:eastAsia="方正仿宋_GBK" w:cs="Times New Roman"/>
          <w:b w:val="0"/>
          <w:bCs w:val="0"/>
          <w:color w:val="auto"/>
          <w:sz w:val="32"/>
          <w:szCs w:val="32"/>
          <w:highlight w:val="none"/>
        </w:rPr>
        <w:t>等。涉及</w:t>
      </w:r>
      <w:r>
        <w:rPr>
          <w:rFonts w:hint="eastAsia" w:ascii="Times New Roman" w:hAnsi="Times New Roman" w:eastAsia="方正仿宋_GBK" w:cs="Times New Roman"/>
          <w:b w:val="0"/>
          <w:bCs w:val="0"/>
          <w:color w:val="auto"/>
          <w:sz w:val="32"/>
          <w:szCs w:val="32"/>
          <w:highlight w:val="none"/>
          <w:lang w:eastAsia="zh-CN"/>
        </w:rPr>
        <w:t>跨省跨区</w:t>
      </w:r>
      <w:r>
        <w:rPr>
          <w:rFonts w:hint="eastAsia" w:ascii="Times New Roman" w:hAnsi="Times New Roman" w:eastAsia="方正仿宋_GBK" w:cs="Times New Roman"/>
          <w:b w:val="0"/>
          <w:bCs w:val="0"/>
          <w:color w:val="auto"/>
          <w:sz w:val="32"/>
          <w:szCs w:val="32"/>
          <w:highlight w:val="none"/>
        </w:rPr>
        <w:t>的交易，</w:t>
      </w:r>
      <w:r>
        <w:rPr>
          <w:rFonts w:hint="eastAsia" w:ascii="Times New Roman" w:hAnsi="Times New Roman" w:eastAsia="方正仿宋_GBK" w:cs="Times New Roman"/>
          <w:b w:val="0"/>
          <w:bCs w:val="0"/>
          <w:color w:val="auto"/>
          <w:sz w:val="32"/>
          <w:szCs w:val="32"/>
          <w:highlight w:val="none"/>
          <w:lang w:val="en-US" w:eastAsia="zh-CN"/>
        </w:rPr>
        <w:t>交易出清校核</w:t>
      </w:r>
      <w:r>
        <w:rPr>
          <w:rFonts w:hint="eastAsia" w:ascii="Times New Roman" w:hAnsi="Times New Roman" w:eastAsia="方正仿宋_GBK" w:cs="Times New Roman"/>
          <w:b w:val="0"/>
          <w:bCs w:val="0"/>
          <w:color w:val="auto"/>
          <w:sz w:val="32"/>
          <w:szCs w:val="32"/>
          <w:highlight w:val="none"/>
        </w:rPr>
        <w:t>由</w:t>
      </w:r>
      <w:r>
        <w:rPr>
          <w:rFonts w:hint="eastAsia" w:ascii="Times New Roman" w:hAnsi="Times New Roman" w:eastAsia="方正仿宋_GBK" w:cs="Times New Roman"/>
          <w:b w:val="0"/>
          <w:bCs w:val="0"/>
          <w:color w:val="auto"/>
          <w:sz w:val="32"/>
          <w:szCs w:val="32"/>
          <w:highlight w:val="none"/>
          <w:lang w:val="en-US" w:eastAsia="zh-CN"/>
        </w:rPr>
        <w:t>北京电力交易中心、广州电力交易中心组织各省（区、市）电力交易机构</w:t>
      </w:r>
      <w:r>
        <w:rPr>
          <w:rFonts w:hint="eastAsia" w:ascii="Times New Roman" w:hAnsi="Times New Roman" w:eastAsia="方正仿宋_GBK" w:cs="Times New Roman"/>
          <w:b w:val="0"/>
          <w:bCs w:val="0"/>
          <w:color w:val="auto"/>
          <w:sz w:val="32"/>
          <w:szCs w:val="32"/>
          <w:highlight w:val="none"/>
          <w:lang w:eastAsia="zh"/>
        </w:rPr>
        <w:t>完成</w:t>
      </w:r>
      <w:r>
        <w:rPr>
          <w:rFonts w:hint="eastAsia" w:ascii="Times New Roman" w:hAnsi="Times New Roman" w:eastAsia="方正仿宋_GBK" w:cs="Times New Roman"/>
          <w:b w:val="0"/>
          <w:bCs w:val="0"/>
          <w:color w:val="auto"/>
          <w:sz w:val="32"/>
          <w:szCs w:val="32"/>
          <w:highlight w:val="none"/>
          <w:lang w:val="en-US" w:eastAsia="zh-CN"/>
        </w:rPr>
        <w:t>。</w:t>
      </w:r>
    </w:p>
    <w:p w14:paraId="028101B0">
      <w:pPr>
        <w:numPr>
          <w:ilvl w:val="0"/>
          <w:numId w:val="4"/>
        </w:numPr>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交易出清校核</w:t>
      </w:r>
      <w:r>
        <w:rPr>
          <w:rFonts w:hint="eastAsia" w:ascii="Times New Roman" w:hAnsi="Times New Roman" w:eastAsia="方正仿宋_GBK" w:cs="Times New Roman"/>
          <w:b w:val="0"/>
          <w:bCs w:val="0"/>
          <w:color w:val="auto"/>
          <w:kern w:val="2"/>
          <w:sz w:val="32"/>
          <w:szCs w:val="32"/>
          <w:highlight w:val="none"/>
          <w:lang w:val="en-US" w:eastAsia="zh-CN" w:bidi="ar"/>
        </w:rPr>
        <w:t>在</w:t>
      </w:r>
      <w:r>
        <w:rPr>
          <w:rFonts w:hint="eastAsia" w:ascii="Times New Roman" w:hAnsi="Times New Roman" w:eastAsia="方正仿宋_GBK" w:cs="Times New Roman"/>
          <w:b w:val="0"/>
          <w:bCs w:val="0"/>
          <w:color w:val="auto"/>
          <w:kern w:val="0"/>
          <w:sz w:val="32"/>
          <w:szCs w:val="32"/>
          <w:highlight w:val="none"/>
          <w:lang w:val="en-US" w:eastAsia="zh-CN" w:bidi="ar"/>
        </w:rPr>
        <w:t>电力中长期市场</w:t>
      </w:r>
      <w:r>
        <w:rPr>
          <w:rFonts w:hint="eastAsia" w:ascii="Times New Roman" w:hAnsi="Times New Roman" w:eastAsia="方正仿宋_GBK" w:cs="Times New Roman"/>
          <w:b w:val="0"/>
          <w:bCs w:val="0"/>
          <w:color w:val="auto"/>
          <w:kern w:val="2"/>
          <w:sz w:val="32"/>
          <w:szCs w:val="32"/>
          <w:highlight w:val="none"/>
          <w:lang w:val="en-US" w:eastAsia="zh-CN" w:bidi="ar"/>
        </w:rPr>
        <w:t>出清</w:t>
      </w:r>
      <w:r>
        <w:rPr>
          <w:rFonts w:hint="eastAsia" w:ascii="Times New Roman" w:hAnsi="Times New Roman" w:eastAsia="方正仿宋_GBK" w:cs="Times New Roman"/>
          <w:b w:val="0"/>
          <w:bCs w:val="0"/>
          <w:color w:val="auto"/>
          <w:sz w:val="32"/>
          <w:szCs w:val="32"/>
          <w:highlight w:val="none"/>
          <w:lang w:bidi="ar"/>
        </w:rPr>
        <w:t>前</w:t>
      </w:r>
      <w:r>
        <w:rPr>
          <w:rFonts w:hint="eastAsia" w:ascii="Times New Roman" w:hAnsi="Times New Roman" w:eastAsia="方正仿宋_GBK" w:cs="Times New Roman"/>
          <w:b w:val="0"/>
          <w:bCs w:val="0"/>
          <w:color w:val="auto"/>
          <w:kern w:val="2"/>
          <w:sz w:val="32"/>
          <w:szCs w:val="32"/>
          <w:highlight w:val="none"/>
          <w:lang w:val="en-US" w:eastAsia="zh-CN" w:bidi="ar"/>
        </w:rPr>
        <w:t>开展，</w:t>
      </w:r>
      <w:r>
        <w:rPr>
          <w:rFonts w:hint="eastAsia" w:ascii="Times New Roman" w:hAnsi="Times New Roman" w:eastAsia="方正仿宋_GBK" w:cs="Times New Roman"/>
          <w:b w:val="0"/>
          <w:bCs w:val="0"/>
          <w:color w:val="auto"/>
          <w:sz w:val="32"/>
          <w:szCs w:val="32"/>
          <w:highlight w:val="none"/>
        </w:rPr>
        <w:t>原则上不超过1</w:t>
      </w:r>
      <w:r>
        <w:rPr>
          <w:rFonts w:hint="eastAsia" w:ascii="Times New Roman" w:hAnsi="Times New Roman" w:eastAsia="方正仿宋_GBK" w:cs="Times New Roman"/>
          <w:b w:val="0"/>
          <w:bCs w:val="0"/>
          <w:color w:val="auto"/>
          <w:sz w:val="32"/>
          <w:szCs w:val="32"/>
          <w:highlight w:val="none"/>
          <w:lang w:val="en-US" w:eastAsia="zh-CN"/>
        </w:rPr>
        <w:t>个工作</w:t>
      </w:r>
      <w:r>
        <w:rPr>
          <w:rFonts w:hint="eastAsia" w:ascii="Times New Roman" w:hAnsi="Times New Roman" w:eastAsia="方正仿宋_GBK" w:cs="Times New Roman"/>
          <w:b w:val="0"/>
          <w:bCs w:val="0"/>
          <w:color w:val="auto"/>
          <w:sz w:val="32"/>
          <w:szCs w:val="32"/>
          <w:highlight w:val="none"/>
        </w:rPr>
        <w:t>日</w:t>
      </w:r>
      <w:r>
        <w:rPr>
          <w:rFonts w:hint="eastAsia" w:ascii="Times New Roman" w:hAnsi="Times New Roman" w:eastAsia="方正仿宋_GBK" w:cs="Times New Roman"/>
          <w:b w:val="0"/>
          <w:bCs w:val="0"/>
          <w:color w:val="auto"/>
          <w:sz w:val="32"/>
          <w:szCs w:val="32"/>
          <w:highlight w:val="none"/>
          <w:lang w:eastAsia="zh"/>
        </w:rPr>
        <w:t>。</w:t>
      </w:r>
      <w:r>
        <w:rPr>
          <w:rFonts w:hint="eastAsia" w:ascii="Times New Roman" w:hAnsi="Times New Roman" w:eastAsia="方正仿宋_GBK" w:cs="Times New Roman"/>
          <w:b w:val="0"/>
          <w:bCs w:val="0"/>
          <w:strike w:val="0"/>
          <w:color w:val="auto"/>
          <w:sz w:val="32"/>
          <w:szCs w:val="32"/>
          <w:highlight w:val="none"/>
        </w:rPr>
        <w:t>出清完成后，电力交易机构发布预成交结果。</w:t>
      </w:r>
    </w:p>
    <w:p w14:paraId="552BC618">
      <w:pPr>
        <w:numPr>
          <w:ilvl w:val="0"/>
          <w:numId w:val="4"/>
        </w:numPr>
        <w:adjustRightInd w:val="0"/>
        <w:snapToGrid w:val="0"/>
        <w:spacing w:line="588" w:lineRule="exact"/>
        <w:ind w:left="-13" w:firstLine="643"/>
        <w:rPr>
          <w:rFonts w:hint="eastAsia" w:ascii="Times New Roman" w:hAnsi="Times New Roman" w:eastAsia="方正仿宋_GBK" w:cs="Times New Roman"/>
          <w:b w:val="0"/>
          <w:bCs w:val="0"/>
          <w:color w:val="auto"/>
          <w:highlight w:val="none"/>
        </w:rPr>
      </w:pPr>
      <w:r>
        <w:rPr>
          <w:rFonts w:hint="eastAsia" w:ascii="Times New Roman" w:hAnsi="Times New Roman" w:eastAsia="方正仿宋_GBK" w:cs="Times New Roman"/>
          <w:b w:val="0"/>
          <w:bCs w:val="0"/>
          <w:strike w:val="0"/>
          <w:color w:val="auto"/>
          <w:sz w:val="32"/>
          <w:szCs w:val="32"/>
          <w:highlight w:val="none"/>
          <w:lang w:val="en-US" w:eastAsia="zh-CN"/>
        </w:rPr>
        <w:t>电网</w:t>
      </w:r>
      <w:r>
        <w:rPr>
          <w:rFonts w:hint="eastAsia" w:ascii="Times New Roman" w:hAnsi="Times New Roman" w:eastAsia="方正仿宋_GBK" w:cs="Times New Roman"/>
          <w:b w:val="0"/>
          <w:bCs w:val="0"/>
          <w:strike w:val="0"/>
          <w:color w:val="auto"/>
          <w:sz w:val="32"/>
          <w:szCs w:val="32"/>
          <w:highlight w:val="none"/>
          <w:lang w:val="en-US" w:eastAsia="zh-CN"/>
        </w:rPr>
        <w:t>安全校核按照电网运行安全校核技术规范有关要求执行。</w:t>
      </w:r>
      <w:r>
        <w:rPr>
          <w:rFonts w:hint="eastAsia" w:ascii="Times New Roman" w:hAnsi="Times New Roman" w:eastAsia="方正仿宋_GBK" w:cs="Times New Roman"/>
          <w:b w:val="0"/>
          <w:bCs w:val="0"/>
          <w:color w:val="auto"/>
          <w:kern w:val="2"/>
          <w:sz w:val="32"/>
          <w:szCs w:val="32"/>
          <w:highlight w:val="none"/>
          <w:lang w:val="en-US" w:eastAsia="zh-CN" w:bidi="ar"/>
        </w:rPr>
        <w:t>跨省跨区交易预成交结果发布后，电力交易机构将预成交结果推送至电力调度机构进行安全校核</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跨省跨区</w:t>
      </w:r>
      <w:r>
        <w:rPr>
          <w:rFonts w:hint="eastAsia" w:ascii="Times New Roman" w:hAnsi="Times New Roman" w:eastAsia="方正仿宋_GBK" w:cs="Times New Roman"/>
          <w:b w:val="0"/>
          <w:bCs w:val="0"/>
          <w:color w:val="auto"/>
          <w:sz w:val="32"/>
          <w:szCs w:val="32"/>
          <w:highlight w:val="none"/>
          <w:lang w:val="en-US" w:eastAsia="zh-CN"/>
        </w:rPr>
        <w:t>数年交易，应逐年开展电网安全校核；</w:t>
      </w:r>
      <w:r>
        <w:rPr>
          <w:rFonts w:hint="eastAsia" w:ascii="Times New Roman" w:hAnsi="Times New Roman" w:eastAsia="方正仿宋_GBK" w:cs="Times New Roman"/>
          <w:b w:val="0"/>
          <w:bCs w:val="0"/>
          <w:strike w:val="0"/>
          <w:color w:val="auto"/>
          <w:sz w:val="32"/>
          <w:szCs w:val="32"/>
          <w:highlight w:val="none"/>
          <w:lang w:val="en-US" w:eastAsia="zh-CN"/>
        </w:rPr>
        <w:t>月内</w:t>
      </w:r>
      <w:r>
        <w:rPr>
          <w:rFonts w:hint="eastAsia" w:ascii="Times New Roman" w:hAnsi="Times New Roman" w:eastAsia="方正仿宋_GBK" w:cs="Times New Roman"/>
          <w:b w:val="0"/>
          <w:bCs w:val="0"/>
          <w:strike w:val="0"/>
          <w:color w:val="auto"/>
          <w:sz w:val="32"/>
          <w:szCs w:val="32"/>
          <w:highlight w:val="none"/>
        </w:rPr>
        <w:t>交易按交易组织时间每日统一推送至调度机构开展</w:t>
      </w:r>
      <w:r>
        <w:rPr>
          <w:rFonts w:hint="eastAsia" w:ascii="Times New Roman" w:hAnsi="Times New Roman" w:eastAsia="方正仿宋_GBK" w:cs="Times New Roman"/>
          <w:b w:val="0"/>
          <w:bCs w:val="0"/>
          <w:strike w:val="0"/>
          <w:color w:val="auto"/>
          <w:sz w:val="32"/>
          <w:szCs w:val="32"/>
          <w:highlight w:val="none"/>
          <w:lang w:val="en-US" w:eastAsia="zh-CN"/>
        </w:rPr>
        <w:t>电网</w:t>
      </w:r>
      <w:r>
        <w:rPr>
          <w:rFonts w:hint="eastAsia" w:ascii="Times New Roman" w:hAnsi="Times New Roman" w:eastAsia="方正仿宋_GBK" w:cs="Times New Roman"/>
          <w:b w:val="0"/>
          <w:bCs w:val="0"/>
          <w:strike w:val="0"/>
          <w:color w:val="auto"/>
          <w:sz w:val="32"/>
          <w:szCs w:val="32"/>
          <w:highlight w:val="none"/>
        </w:rPr>
        <w:t>安全校核</w:t>
      </w:r>
      <w:r>
        <w:rPr>
          <w:rFonts w:hint="eastAsia" w:ascii="Times New Roman" w:hAnsi="Times New Roman" w:eastAsia="方正仿宋_GBK" w:cs="Times New Roman"/>
          <w:b w:val="0"/>
          <w:bCs w:val="0"/>
          <w:strike w:val="0"/>
          <w:color w:val="auto"/>
          <w:sz w:val="32"/>
          <w:szCs w:val="32"/>
          <w:highlight w:val="none"/>
          <w:lang w:eastAsia="zh-CN"/>
        </w:rPr>
        <w:t>。</w:t>
      </w:r>
    </w:p>
    <w:p w14:paraId="759E2B07">
      <w:pPr>
        <w:pageBreakBefore w:val="0"/>
        <w:numPr>
          <w:ilvl w:val="0"/>
          <w:numId w:val="4"/>
        </w:numPr>
        <w:kinsoku/>
        <w:wordWrap/>
        <w:overflowPunct/>
        <w:topLinePunct w:val="0"/>
        <w:autoSpaceDN/>
        <w:bidi w:val="0"/>
        <w:adjustRightInd w:val="0"/>
        <w:snapToGrid w:val="0"/>
        <w:spacing w:line="588" w:lineRule="exact"/>
        <w:ind w:left="-13" w:leftChars="0" w:firstLine="643" w:firstLineChars="0"/>
        <w:rPr>
          <w:rFonts w:hint="eastAsia" w:ascii="Times New Roman" w:hAnsi="Times New Roman" w:eastAsia="方正仿宋_GBK" w:cs="Times New Roman"/>
          <w:b w:val="0"/>
          <w:bCs w:val="0"/>
          <w:color w:val="auto"/>
          <w:sz w:val="32"/>
          <w:szCs w:val="32"/>
          <w:highlight w:val="none"/>
          <w:lang w:bidi="ar"/>
        </w:rPr>
      </w:pPr>
      <w:r>
        <w:rPr>
          <w:rFonts w:hint="eastAsia" w:ascii="Times New Roman" w:hAnsi="Times New Roman" w:eastAsia="方正仿宋_GBK" w:cs="Times New Roman"/>
          <w:b w:val="0"/>
          <w:bCs w:val="0"/>
          <w:color w:val="auto"/>
          <w:sz w:val="32"/>
          <w:szCs w:val="32"/>
          <w:highlight w:val="none"/>
          <w:lang w:val="en-US" w:eastAsia="zh-CN"/>
        </w:rPr>
        <w:t>电网安全校核应当在规定的时间内完成。其中，数年、年度交易5个工作日，月度交易2个工作日，月内交易1个工作日。</w:t>
      </w:r>
    </w:p>
    <w:p w14:paraId="0A1BD00E">
      <w:pPr>
        <w:pageBreakBefore w:val="0"/>
        <w:numPr>
          <w:ilvl w:val="0"/>
          <w:numId w:val="4"/>
        </w:numPr>
        <w:kinsoku/>
        <w:wordWrap/>
        <w:overflowPunct/>
        <w:topLinePunct w:val="0"/>
        <w:autoSpaceDN/>
        <w:bidi w:val="0"/>
        <w:adjustRightInd w:val="0"/>
        <w:snapToGrid w:val="0"/>
        <w:spacing w:line="588" w:lineRule="exact"/>
        <w:ind w:left="-13" w:leftChars="0" w:firstLine="643" w:firstLineChars="0"/>
        <w:rPr>
          <w:rFonts w:hint="eastAsia" w:ascii="Times New Roman" w:hAnsi="Times New Roman" w:eastAsia="方正仿宋_GBK" w:cs="Times New Roman"/>
          <w:b w:val="0"/>
          <w:bCs w:val="0"/>
          <w:color w:val="auto"/>
          <w:sz w:val="32"/>
          <w:szCs w:val="32"/>
          <w:highlight w:val="none"/>
          <w:lang w:eastAsia="zh-CN" w:bidi="ar"/>
        </w:rPr>
      </w:pPr>
      <w:r>
        <w:rPr>
          <w:rFonts w:hint="eastAsia" w:ascii="Times New Roman" w:hAnsi="Times New Roman" w:eastAsia="方正仿宋_GBK" w:cs="Times New Roman"/>
          <w:b w:val="0"/>
          <w:bCs w:val="0"/>
          <w:color w:val="auto"/>
          <w:sz w:val="32"/>
          <w:szCs w:val="32"/>
          <w:highlight w:val="none"/>
          <w:lang w:val="en-US" w:eastAsia="zh-CN" w:bidi="ar"/>
        </w:rPr>
        <w:t>电网</w:t>
      </w:r>
      <w:r>
        <w:rPr>
          <w:rFonts w:hint="eastAsia" w:ascii="Times New Roman" w:hAnsi="Times New Roman" w:eastAsia="方正仿宋_GBK" w:cs="Times New Roman"/>
          <w:b w:val="0"/>
          <w:bCs w:val="0"/>
          <w:color w:val="auto"/>
          <w:sz w:val="32"/>
          <w:szCs w:val="32"/>
          <w:highlight w:val="none"/>
          <w:lang w:bidi="ar"/>
        </w:rPr>
        <w:t>安全校核未通过时，电力调度机构将越限信息</w:t>
      </w:r>
      <w:r>
        <w:rPr>
          <w:rFonts w:hint="eastAsia" w:ascii="Times New Roman" w:hAnsi="Times New Roman" w:eastAsia="方正仿宋_GBK" w:cs="Times New Roman"/>
          <w:b w:val="0"/>
          <w:bCs w:val="0"/>
          <w:color w:val="auto"/>
          <w:sz w:val="32"/>
          <w:szCs w:val="32"/>
          <w:highlight w:val="none"/>
          <w:lang w:val="en-US" w:eastAsia="zh-CN" w:bidi="ar"/>
        </w:rPr>
        <w:t>以规范、统一的形式</w:t>
      </w:r>
      <w:r>
        <w:rPr>
          <w:rFonts w:hint="eastAsia" w:ascii="Times New Roman" w:hAnsi="Times New Roman" w:eastAsia="方正仿宋_GBK" w:cs="Times New Roman"/>
          <w:b w:val="0"/>
          <w:bCs w:val="0"/>
          <w:color w:val="auto"/>
          <w:sz w:val="32"/>
          <w:szCs w:val="32"/>
          <w:highlight w:val="none"/>
          <w:lang w:bidi="ar"/>
        </w:rPr>
        <w:t>推送至电力交易机构，并在电力交易平台披露电网安全校核未通过原因。电力交易机构根据电力调度机构安全校核意见，按交易优先级逆序削减。</w:t>
      </w:r>
    </w:p>
    <w:p w14:paraId="40FA7D24">
      <w:pPr>
        <w:pageBreakBefore w:val="0"/>
        <w:numPr>
          <w:ilvl w:val="0"/>
          <w:numId w:val="4"/>
        </w:numPr>
        <w:kinsoku/>
        <w:wordWrap/>
        <w:overflowPunct/>
        <w:topLinePunct w:val="0"/>
        <w:autoSpaceDN/>
        <w:bidi w:val="0"/>
        <w:adjustRightInd w:val="0"/>
        <w:snapToGrid w:val="0"/>
        <w:spacing w:line="588" w:lineRule="exact"/>
        <w:ind w:left="-13" w:leftChars="0" w:firstLine="643" w:firstLineChars="0"/>
        <w:rPr>
          <w:rFonts w:hint="eastAsia" w:ascii="Times New Roman" w:hAnsi="Times New Roman" w:eastAsia="方正仿宋_GBK" w:cs="Times New Roman"/>
          <w:b w:val="0"/>
          <w:bCs w:val="0"/>
          <w:color w:val="auto"/>
          <w:sz w:val="32"/>
          <w:szCs w:val="32"/>
          <w:highlight w:val="none"/>
          <w:lang w:eastAsia="zh-CN" w:bidi="ar"/>
        </w:rPr>
      </w:pPr>
      <w:r>
        <w:rPr>
          <w:rFonts w:hint="eastAsia" w:ascii="Times New Roman" w:hAnsi="Times New Roman" w:eastAsia="方正仿宋_GBK" w:cs="Times New Roman"/>
          <w:b w:val="0"/>
          <w:bCs w:val="0"/>
          <w:color w:val="auto"/>
          <w:sz w:val="32"/>
          <w:szCs w:val="32"/>
          <w:highlight w:val="none"/>
          <w:lang w:eastAsia="zh-CN" w:bidi="ar"/>
        </w:rPr>
        <w:t>电力交易机构应当根据电力调度机构安全校核意见在规定时间内完成交易削减。其中数年、年度交易5个工作日，月度交易2个工作日，月内交易</w:t>
      </w:r>
      <w:r>
        <w:rPr>
          <w:rFonts w:hint="eastAsia" w:ascii="Times New Roman" w:hAnsi="Times New Roman" w:eastAsia="方正仿宋_GBK" w:cs="Times New Roman"/>
          <w:b w:val="0"/>
          <w:bCs w:val="0"/>
          <w:color w:val="auto"/>
          <w:sz w:val="32"/>
          <w:szCs w:val="32"/>
          <w:highlight w:val="none"/>
          <w:lang w:val="en-US" w:eastAsia="zh-CN" w:bidi="ar"/>
        </w:rPr>
        <w:t>1</w:t>
      </w:r>
      <w:r>
        <w:rPr>
          <w:rFonts w:hint="eastAsia" w:ascii="Times New Roman" w:hAnsi="Times New Roman" w:eastAsia="方正仿宋_GBK" w:cs="Times New Roman"/>
          <w:b w:val="0"/>
          <w:bCs w:val="0"/>
          <w:color w:val="auto"/>
          <w:sz w:val="32"/>
          <w:szCs w:val="32"/>
          <w:highlight w:val="none"/>
          <w:lang w:eastAsia="zh-CN" w:bidi="ar"/>
        </w:rPr>
        <w:t>个工作日。</w:t>
      </w:r>
    </w:p>
    <w:p w14:paraId="291B110D">
      <w:pPr>
        <w:numPr>
          <w:ilvl w:val="0"/>
          <w:numId w:val="4"/>
        </w:numPr>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电力交易机构应按</w:t>
      </w:r>
      <w:r>
        <w:rPr>
          <w:rFonts w:hint="eastAsia" w:ascii="Times New Roman" w:hAnsi="Times New Roman" w:eastAsia="方正仿宋_GBK" w:cs="Times New Roman"/>
          <w:b w:val="0"/>
          <w:bCs w:val="0"/>
          <w:color w:val="auto"/>
          <w:sz w:val="32"/>
          <w:szCs w:val="32"/>
          <w:highlight w:val="none"/>
          <w:lang w:eastAsia="zh"/>
        </w:rPr>
        <w:t>规定</w:t>
      </w:r>
      <w:r>
        <w:rPr>
          <w:rFonts w:hint="eastAsia" w:ascii="Times New Roman" w:hAnsi="Times New Roman" w:eastAsia="方正仿宋_GBK" w:cs="Times New Roman"/>
          <w:b w:val="0"/>
          <w:bCs w:val="0"/>
          <w:color w:val="auto"/>
          <w:sz w:val="32"/>
          <w:szCs w:val="32"/>
          <w:highlight w:val="none"/>
        </w:rPr>
        <w:t>及时发布交易结果</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经营主体对交易结果有异议的，应当在结果发布1个工作日内向电力交易机构提出，由电力交易机构会同电力调度机构在1个工作日内给予解释。逾期未提出异议的，电力交易平台自动确认成交</w:t>
      </w:r>
      <w:r>
        <w:rPr>
          <w:rFonts w:hint="eastAsia" w:ascii="Times New Roman" w:hAnsi="Times New Roman" w:eastAsia="方正仿宋_GBK" w:cs="Times New Roman"/>
          <w:b w:val="0"/>
          <w:bCs w:val="0"/>
          <w:color w:val="auto"/>
          <w:sz w:val="32"/>
          <w:szCs w:val="32"/>
          <w:highlight w:val="none"/>
          <w:lang w:eastAsia="zh-CN"/>
        </w:rPr>
        <w:t>。</w:t>
      </w:r>
    </w:p>
    <w:p w14:paraId="491074E6">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
        </w:rPr>
      </w:pPr>
      <w:bookmarkStart w:id="149" w:name="_Toc20107"/>
      <w:bookmarkStart w:id="150" w:name="_Toc1310658211"/>
      <w:bookmarkStart w:id="151" w:name="_Toc433"/>
      <w:bookmarkStart w:id="152" w:name="_Toc27558"/>
      <w:bookmarkStart w:id="153" w:name="_Toc31834"/>
      <w:bookmarkStart w:id="154" w:name="_Toc28369"/>
      <w:bookmarkStart w:id="155" w:name="_Toc942675345"/>
      <w:bookmarkStart w:id="156" w:name="_Toc5368"/>
      <w:bookmarkStart w:id="157" w:name="_Toc2061174735"/>
      <w:bookmarkStart w:id="158" w:name="_Toc362923897"/>
      <w:bookmarkStart w:id="159" w:name="_Toc20984"/>
      <w:bookmarkStart w:id="160" w:name="_Toc28171"/>
      <w:bookmarkStart w:id="161" w:name="_Toc31119"/>
      <w:bookmarkStart w:id="162" w:name="_Toc13997"/>
      <w:r>
        <w:rPr>
          <w:rFonts w:hint="eastAsia" w:ascii="Times New Roman" w:hAnsi="Times New Roman" w:eastAsia="黑体" w:cs="Times New Roman"/>
          <w:b w:val="0"/>
          <w:bCs w:val="0"/>
          <w:color w:val="auto"/>
          <w:sz w:val="32"/>
          <w:szCs w:val="32"/>
          <w:highlight w:val="none"/>
          <w:lang w:eastAsia="zh"/>
        </w:rPr>
        <w:t>第</w:t>
      </w:r>
      <w:r>
        <w:rPr>
          <w:rFonts w:hint="eastAsia" w:ascii="Times New Roman" w:hAnsi="Times New Roman" w:eastAsia="黑体" w:cs="Times New Roman"/>
          <w:b w:val="0"/>
          <w:bCs w:val="0"/>
          <w:color w:val="auto"/>
          <w:sz w:val="32"/>
          <w:szCs w:val="32"/>
          <w:highlight w:val="none"/>
          <w:lang w:val="en-US" w:eastAsia="zh-CN"/>
        </w:rPr>
        <w:t>七</w:t>
      </w:r>
      <w:r>
        <w:rPr>
          <w:rFonts w:hint="eastAsia" w:ascii="Times New Roman" w:hAnsi="Times New Roman" w:eastAsia="黑体" w:cs="Times New Roman"/>
          <w:b w:val="0"/>
          <w:bCs w:val="0"/>
          <w:color w:val="auto"/>
          <w:sz w:val="32"/>
          <w:szCs w:val="32"/>
          <w:highlight w:val="none"/>
          <w:lang w:eastAsia="zh"/>
        </w:rPr>
        <w:t>章 合同管理</w:t>
      </w:r>
      <w:bookmarkEnd w:id="149"/>
      <w:bookmarkEnd w:id="150"/>
      <w:bookmarkEnd w:id="151"/>
      <w:bookmarkEnd w:id="152"/>
      <w:bookmarkEnd w:id="153"/>
      <w:bookmarkEnd w:id="154"/>
      <w:bookmarkEnd w:id="155"/>
      <w:bookmarkEnd w:id="156"/>
      <w:bookmarkEnd w:id="157"/>
    </w:p>
    <w:bookmarkEnd w:id="158"/>
    <w:bookmarkEnd w:id="159"/>
    <w:bookmarkEnd w:id="160"/>
    <w:bookmarkEnd w:id="161"/>
    <w:bookmarkEnd w:id="162"/>
    <w:p w14:paraId="22E38C2B">
      <w:pPr>
        <w:pStyle w:val="2"/>
        <w:widowControl/>
        <w:adjustRightInd w:val="0"/>
        <w:snapToGrid w:val="0"/>
        <w:spacing w:line="588" w:lineRule="exact"/>
        <w:ind w:firstLineChars="0"/>
        <w:jc w:val="center"/>
        <w:rPr>
          <w:rFonts w:hint="eastAsia" w:ascii="Times New Roman" w:hAnsi="Times New Roman" w:eastAsia="方正楷体_GBK" w:cs="Times New Roman"/>
          <w:b w:val="0"/>
          <w:bCs w:val="0"/>
          <w:color w:val="auto"/>
          <w:sz w:val="32"/>
          <w:szCs w:val="32"/>
          <w:highlight w:val="none"/>
        </w:rPr>
      </w:pPr>
      <w:bookmarkStart w:id="163" w:name="_Toc686155983"/>
      <w:bookmarkStart w:id="164" w:name="_Toc4266"/>
      <w:bookmarkStart w:id="165" w:name="_Toc27044"/>
      <w:bookmarkStart w:id="166" w:name="_Toc12241"/>
      <w:bookmarkStart w:id="167" w:name="_Toc791432736"/>
      <w:bookmarkStart w:id="168" w:name="_Toc8463"/>
      <w:bookmarkStart w:id="169" w:name="_Toc405695262"/>
      <w:bookmarkStart w:id="170" w:name="_Toc7293"/>
      <w:bookmarkStart w:id="171" w:name="_Toc5153"/>
      <w:bookmarkStart w:id="172" w:name="_Toc13117"/>
      <w:bookmarkStart w:id="173" w:name="_Toc15059"/>
      <w:bookmarkStart w:id="174" w:name="_Toc6950"/>
      <w:bookmarkStart w:id="175" w:name="_Toc1162231547"/>
      <w:bookmarkStart w:id="176" w:name="_Toc20785"/>
      <w:r>
        <w:rPr>
          <w:rFonts w:hint="eastAsia" w:ascii="Times New Roman" w:hAnsi="Times New Roman" w:eastAsia="方正楷体_GBK" w:cs="Times New Roman"/>
          <w:b w:val="0"/>
          <w:bCs w:val="0"/>
          <w:color w:val="auto"/>
          <w:sz w:val="32"/>
          <w:szCs w:val="32"/>
          <w:highlight w:val="none"/>
        </w:rPr>
        <w:t>第一节 合同签订</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2E36E5B8">
      <w:pPr>
        <w:pageBreakBefore w:val="0"/>
        <w:numPr>
          <w:ilvl w:val="0"/>
          <w:numId w:val="4"/>
        </w:numPr>
        <w:kinsoku/>
        <w:wordWrap/>
        <w:overflowPunct/>
        <w:topLinePunct w:val="0"/>
        <w:autoSpaceDN/>
        <w:bidi w:val="0"/>
        <w:adjustRightInd w:val="0"/>
        <w:snapToGrid w:val="0"/>
        <w:spacing w:line="588" w:lineRule="exact"/>
        <w:ind w:left="-11" w:firstLine="641"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各</w:t>
      </w:r>
      <w:r>
        <w:rPr>
          <w:rFonts w:hint="eastAsia" w:ascii="Times New Roman" w:hAnsi="Times New Roman" w:eastAsia="方正仿宋_GBK" w:cs="Times New Roman"/>
          <w:b w:val="0"/>
          <w:bCs w:val="0"/>
          <w:color w:val="auto"/>
          <w:kern w:val="2"/>
          <w:sz w:val="32"/>
          <w:szCs w:val="32"/>
          <w:highlight w:val="none"/>
          <w:lang w:val="en-US" w:eastAsia="zh-CN" w:bidi="ar"/>
        </w:rPr>
        <w:t>市场成员</w:t>
      </w:r>
      <w:r>
        <w:rPr>
          <w:rFonts w:hint="eastAsia" w:ascii="Times New Roman" w:hAnsi="Times New Roman" w:eastAsia="方正仿宋_GBK" w:cs="Times New Roman"/>
          <w:b w:val="0"/>
          <w:bCs w:val="0"/>
          <w:color w:val="auto"/>
          <w:sz w:val="32"/>
          <w:szCs w:val="32"/>
          <w:highlight w:val="none"/>
        </w:rPr>
        <w:t>应当参照合同示范文本签订</w:t>
      </w:r>
      <w:r>
        <w:rPr>
          <w:rFonts w:hint="eastAsia" w:ascii="Times New Roman" w:hAnsi="Times New Roman" w:eastAsia="方正仿宋_GBK" w:cs="Times New Roman"/>
          <w:b w:val="0"/>
          <w:bCs w:val="0"/>
          <w:color w:val="auto"/>
          <w:sz w:val="32"/>
          <w:szCs w:val="32"/>
          <w:highlight w:val="none"/>
          <w:lang w:eastAsia="zh-CN"/>
        </w:rPr>
        <w:t>电力中长期交易</w:t>
      </w:r>
      <w:r>
        <w:rPr>
          <w:rFonts w:hint="eastAsia" w:ascii="Times New Roman" w:hAnsi="Times New Roman" w:eastAsia="方正仿宋_GBK" w:cs="Times New Roman"/>
          <w:b w:val="0"/>
          <w:bCs w:val="0"/>
          <w:color w:val="auto"/>
          <w:sz w:val="32"/>
          <w:szCs w:val="32"/>
          <w:highlight w:val="none"/>
        </w:rPr>
        <w:t>合同。</w:t>
      </w:r>
    </w:p>
    <w:p w14:paraId="2D76259D">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在电力交易平台提交、确认的</w:t>
      </w:r>
      <w:r>
        <w:rPr>
          <w:rFonts w:hint="eastAsia" w:ascii="Times New Roman" w:hAnsi="Times New Roman" w:eastAsia="方正仿宋_GBK" w:cs="Times New Roman"/>
          <w:b w:val="0"/>
          <w:bCs w:val="0"/>
          <w:color w:val="auto"/>
          <w:sz w:val="32"/>
          <w:szCs w:val="32"/>
          <w:highlight w:val="none"/>
          <w:lang w:eastAsia="zh-CN"/>
        </w:rPr>
        <w:t>双边协商交易</w:t>
      </w:r>
      <w:r>
        <w:rPr>
          <w:rFonts w:hint="eastAsia" w:ascii="Times New Roman" w:hAnsi="Times New Roman" w:eastAsia="方正仿宋_GBK" w:cs="Times New Roman"/>
          <w:b w:val="0"/>
          <w:bCs w:val="0"/>
          <w:color w:val="auto"/>
          <w:sz w:val="32"/>
          <w:szCs w:val="32"/>
          <w:highlight w:val="none"/>
        </w:rPr>
        <w:t>以及参与集中交易产生的结果，各相关</w:t>
      </w:r>
      <w:r>
        <w:rPr>
          <w:rFonts w:hint="eastAsia" w:ascii="Times New Roman" w:hAnsi="Times New Roman" w:eastAsia="方正仿宋_GBK" w:cs="Times New Roman"/>
          <w:b w:val="0"/>
          <w:bCs w:val="0"/>
          <w:color w:val="auto"/>
          <w:sz w:val="32"/>
          <w:szCs w:val="32"/>
          <w:highlight w:val="none"/>
          <w:lang w:eastAsia="zh"/>
        </w:rPr>
        <w:t>市场成员</w:t>
      </w:r>
      <w:r>
        <w:rPr>
          <w:rFonts w:hint="eastAsia" w:ascii="Times New Roman" w:hAnsi="Times New Roman" w:eastAsia="方正仿宋_GBK" w:cs="Times New Roman"/>
          <w:b w:val="0"/>
          <w:bCs w:val="0"/>
          <w:color w:val="auto"/>
          <w:sz w:val="32"/>
          <w:szCs w:val="32"/>
          <w:highlight w:val="none"/>
          <w:lang w:val="en-US" w:eastAsia="zh-CN"/>
        </w:rPr>
        <w:t>应</w:t>
      </w:r>
      <w:r>
        <w:rPr>
          <w:rFonts w:hint="eastAsia" w:ascii="Times New Roman" w:hAnsi="Times New Roman" w:eastAsia="方正仿宋_GBK" w:cs="Times New Roman"/>
          <w:b w:val="0"/>
          <w:bCs w:val="0"/>
          <w:color w:val="auto"/>
          <w:sz w:val="32"/>
          <w:szCs w:val="32"/>
          <w:highlight w:val="none"/>
        </w:rPr>
        <w:t>将电力交易机构出具的电子交易确认单（视同为电子合同）作为执行依据。</w:t>
      </w:r>
    </w:p>
    <w:p w14:paraId="411BB6BD">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color w:val="auto"/>
        </w:rPr>
      </w:pPr>
      <w:r>
        <w:rPr>
          <w:rFonts w:hint="eastAsia" w:ascii="Times New Roman" w:hAnsi="Times New Roman" w:eastAsia="方正仿宋_GBK" w:cs="Times New Roman"/>
          <w:b w:val="0"/>
          <w:bCs w:val="0"/>
          <w:color w:val="auto"/>
          <w:sz w:val="32"/>
          <w:szCs w:val="32"/>
          <w:highlight w:val="none"/>
        </w:rPr>
        <w:t>绿电交易合同应明确交易电量</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电力曲线</w:t>
      </w:r>
      <w:r>
        <w:rPr>
          <w:rFonts w:hint="eastAsia" w:ascii="Times New Roman" w:hAnsi="Times New Roman" w:eastAsia="方正仿宋_GBK" w:cs="Times New Roman"/>
          <w:b w:val="0"/>
          <w:bCs w:val="0"/>
          <w:color w:val="auto"/>
          <w:sz w:val="32"/>
          <w:szCs w:val="32"/>
          <w:highlight w:val="none"/>
        </w:rPr>
        <w:t>、价格</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包括电能量价格、</w:t>
      </w: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rPr>
        <w:t>及</w:t>
      </w: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环境价值偏差补偿等内容。电力交易机构根据交易</w:t>
      </w:r>
      <w:r>
        <w:rPr>
          <w:rFonts w:hint="eastAsia" w:ascii="Times New Roman" w:hAnsi="Times New Roman" w:eastAsia="方正仿宋_GBK" w:cs="Times New Roman"/>
          <w:b w:val="0"/>
          <w:bCs w:val="0"/>
          <w:color w:val="auto"/>
          <w:sz w:val="32"/>
          <w:szCs w:val="32"/>
          <w:highlight w:val="none"/>
          <w:lang w:val="en-US" w:eastAsia="zh-CN"/>
        </w:rPr>
        <w:t>合同</w:t>
      </w:r>
      <w:r>
        <w:rPr>
          <w:rFonts w:hint="eastAsia" w:ascii="Times New Roman" w:hAnsi="Times New Roman" w:eastAsia="方正仿宋_GBK" w:cs="Times New Roman"/>
          <w:b w:val="0"/>
          <w:bCs w:val="0"/>
          <w:color w:val="auto"/>
          <w:sz w:val="32"/>
          <w:szCs w:val="32"/>
          <w:highlight w:val="none"/>
        </w:rPr>
        <w:t>形成绿色电力溯源关系</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为经营主体提供溯源认证服务。</w:t>
      </w:r>
    </w:p>
    <w:p w14:paraId="1D5FB300">
      <w:pPr>
        <w:pStyle w:val="2"/>
        <w:adjustRightInd w:val="0"/>
        <w:snapToGrid w:val="0"/>
        <w:spacing w:line="588" w:lineRule="exact"/>
        <w:ind w:firstLineChars="0"/>
        <w:jc w:val="center"/>
        <w:rPr>
          <w:rFonts w:hint="eastAsia" w:ascii="Times New Roman" w:hAnsi="Times New Roman" w:eastAsia="方正楷体_GBK" w:cs="Times New Roman"/>
          <w:b w:val="0"/>
          <w:bCs w:val="0"/>
          <w:color w:val="auto"/>
          <w:sz w:val="32"/>
          <w:szCs w:val="32"/>
          <w:highlight w:val="none"/>
        </w:rPr>
      </w:pPr>
      <w:bookmarkStart w:id="177" w:name="_Toc17387"/>
      <w:bookmarkStart w:id="178" w:name="_Toc1164924143"/>
      <w:bookmarkStart w:id="179" w:name="_Toc19156"/>
      <w:bookmarkStart w:id="180" w:name="_Toc1759275364"/>
      <w:bookmarkStart w:id="181" w:name="_Toc1377133420"/>
      <w:bookmarkStart w:id="182" w:name="_Toc24403"/>
      <w:bookmarkStart w:id="183" w:name="_Toc28982"/>
      <w:bookmarkStart w:id="184" w:name="_Toc7673"/>
      <w:bookmarkStart w:id="185" w:name="_Toc1689437501"/>
      <w:bookmarkStart w:id="186" w:name="_Toc29234"/>
      <w:bookmarkStart w:id="187" w:name="_Toc8382"/>
      <w:bookmarkStart w:id="188" w:name="_Toc16388"/>
      <w:bookmarkStart w:id="189" w:name="_Toc15828"/>
      <w:bookmarkStart w:id="190" w:name="_Toc32288"/>
      <w:r>
        <w:rPr>
          <w:rFonts w:hint="eastAsia" w:ascii="Times New Roman" w:hAnsi="Times New Roman" w:eastAsia="方正楷体_GBK" w:cs="Times New Roman"/>
          <w:b w:val="0"/>
          <w:bCs w:val="0"/>
          <w:color w:val="auto"/>
          <w:sz w:val="32"/>
          <w:szCs w:val="32"/>
          <w:highlight w:val="none"/>
        </w:rPr>
        <w:t>第</w:t>
      </w:r>
      <w:r>
        <w:rPr>
          <w:rFonts w:hint="eastAsia" w:ascii="Times New Roman" w:hAnsi="Times New Roman" w:eastAsia="方正楷体_GBK" w:cs="Times New Roman"/>
          <w:b w:val="0"/>
          <w:bCs w:val="0"/>
          <w:color w:val="auto"/>
          <w:sz w:val="32"/>
          <w:szCs w:val="32"/>
          <w:highlight w:val="none"/>
          <w:lang w:val="en-US" w:eastAsia="zh-CN"/>
        </w:rPr>
        <w:t>二</w:t>
      </w:r>
      <w:r>
        <w:rPr>
          <w:rFonts w:hint="eastAsia" w:ascii="Times New Roman" w:hAnsi="Times New Roman" w:eastAsia="方正楷体_GBK" w:cs="Times New Roman"/>
          <w:b w:val="0"/>
          <w:bCs w:val="0"/>
          <w:color w:val="auto"/>
          <w:sz w:val="32"/>
          <w:szCs w:val="32"/>
          <w:highlight w:val="none"/>
        </w:rPr>
        <w:t>节 合同执行</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076199B">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跨省跨区交易合同对应省间计划曲线应物理执行。</w:t>
      </w:r>
    </w:p>
    <w:p w14:paraId="76E3899E">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电力交易机构汇总跨省跨区、省内</w:t>
      </w:r>
      <w:r>
        <w:rPr>
          <w:rFonts w:hint="eastAsia" w:ascii="Times New Roman" w:hAnsi="Times New Roman" w:eastAsia="方正仿宋_GBK" w:cs="Times New Roman"/>
          <w:b w:val="0"/>
          <w:bCs w:val="0"/>
          <w:color w:val="auto"/>
          <w:kern w:val="2"/>
          <w:sz w:val="32"/>
          <w:szCs w:val="32"/>
          <w:highlight w:val="none"/>
          <w:lang w:val="en-US" w:eastAsia="zh" w:bidi="ar"/>
        </w:rPr>
        <w:t>市场成员</w:t>
      </w:r>
      <w:r>
        <w:rPr>
          <w:rFonts w:hint="eastAsia" w:ascii="Times New Roman" w:hAnsi="Times New Roman" w:eastAsia="方正仿宋_GBK" w:cs="Times New Roman"/>
          <w:b w:val="0"/>
          <w:bCs w:val="0"/>
          <w:color w:val="auto"/>
          <w:kern w:val="2"/>
          <w:sz w:val="32"/>
          <w:szCs w:val="32"/>
          <w:highlight w:val="none"/>
          <w:lang w:val="en-US" w:eastAsia="zh-CN" w:bidi="ar"/>
        </w:rPr>
        <w:t>参与的各类合同，根据中长期市场连续运营情况，进行更新</w:t>
      </w:r>
      <w:r>
        <w:rPr>
          <w:rFonts w:hint="eastAsia" w:ascii="Times New Roman" w:hAnsi="Times New Roman" w:eastAsia="方正仿宋_GBK" w:cs="Times New Roman"/>
          <w:b w:val="0"/>
          <w:bCs w:val="0"/>
          <w:color w:val="auto"/>
          <w:sz w:val="32"/>
          <w:szCs w:val="32"/>
          <w:highlight w:val="none"/>
          <w:lang w:bidi="ar"/>
        </w:rPr>
        <w:t>。</w:t>
      </w:r>
    </w:p>
    <w:p w14:paraId="2CEB3FBB">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电力系统发生紧急情况时，电力调度机构可基于安全优先的原则实施调度，事后向</w:t>
      </w:r>
      <w:r>
        <w:rPr>
          <w:rFonts w:hint="eastAsia" w:ascii="Times New Roman" w:hAnsi="Times New Roman" w:eastAsia="方正仿宋_GBK" w:cs="Times New Roman"/>
          <w:b w:val="0"/>
          <w:bCs w:val="0"/>
          <w:color w:val="auto"/>
          <w:sz w:val="32"/>
          <w:szCs w:val="32"/>
          <w:highlight w:val="none"/>
          <w:lang w:eastAsia="zh-CN"/>
        </w:rPr>
        <w:t>电力监管</w:t>
      </w:r>
      <w:r>
        <w:rPr>
          <w:rFonts w:hint="eastAsia" w:ascii="Times New Roman" w:hAnsi="Times New Roman" w:eastAsia="方正仿宋_GBK" w:cs="Times New Roman"/>
          <w:b w:val="0"/>
          <w:bCs w:val="0"/>
          <w:color w:val="auto"/>
          <w:sz w:val="32"/>
          <w:szCs w:val="32"/>
          <w:highlight w:val="none"/>
        </w:rPr>
        <w:t>机构、政府</w:t>
      </w:r>
      <w:r>
        <w:rPr>
          <w:rFonts w:hint="eastAsia" w:ascii="Times New Roman" w:hAnsi="Times New Roman" w:eastAsia="方正仿宋_GBK" w:cs="Times New Roman"/>
          <w:b w:val="0"/>
          <w:bCs w:val="0"/>
          <w:color w:val="auto"/>
          <w:sz w:val="32"/>
          <w:szCs w:val="32"/>
          <w:highlight w:val="none"/>
          <w:lang w:eastAsia="zh-CN"/>
        </w:rPr>
        <w:t>能源主管</w:t>
      </w:r>
      <w:r>
        <w:rPr>
          <w:rFonts w:hint="eastAsia" w:ascii="Times New Roman" w:hAnsi="Times New Roman" w:eastAsia="方正仿宋_GBK" w:cs="Times New Roman"/>
          <w:b w:val="0"/>
          <w:bCs w:val="0"/>
          <w:color w:val="auto"/>
          <w:sz w:val="32"/>
          <w:szCs w:val="32"/>
          <w:highlight w:val="none"/>
        </w:rPr>
        <w:t>部门报告事件经过，并向经营主体披露相关信息。</w:t>
      </w:r>
    </w:p>
    <w:p w14:paraId="650A4630">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
        </w:rPr>
      </w:pPr>
      <w:bookmarkStart w:id="191" w:name="_Toc31479"/>
      <w:bookmarkStart w:id="192" w:name="_Toc30351"/>
      <w:bookmarkStart w:id="193" w:name="_Toc409"/>
      <w:bookmarkStart w:id="194" w:name="_Toc1153811864"/>
      <w:bookmarkStart w:id="195" w:name="_Toc27373"/>
      <w:bookmarkStart w:id="196" w:name="_Toc1244249842"/>
      <w:bookmarkStart w:id="197" w:name="_Toc369191986"/>
      <w:bookmarkStart w:id="198" w:name="_Toc8868"/>
      <w:bookmarkStart w:id="199" w:name="_Toc23511"/>
      <w:bookmarkStart w:id="200" w:name="_Toc4833"/>
      <w:bookmarkStart w:id="201" w:name="_Toc761125875"/>
      <w:bookmarkStart w:id="202" w:name="_Toc11736"/>
      <w:bookmarkStart w:id="203" w:name="_Toc9563"/>
      <w:bookmarkStart w:id="204" w:name="_Toc16348"/>
      <w:r>
        <w:rPr>
          <w:rFonts w:hint="eastAsia" w:ascii="Times New Roman" w:hAnsi="Times New Roman" w:eastAsia="黑体" w:cs="Times New Roman"/>
          <w:b w:val="0"/>
          <w:bCs w:val="0"/>
          <w:color w:val="auto"/>
          <w:sz w:val="32"/>
          <w:szCs w:val="32"/>
          <w:highlight w:val="none"/>
          <w:lang w:eastAsia="zh"/>
        </w:rPr>
        <w:t>第</w:t>
      </w:r>
      <w:r>
        <w:rPr>
          <w:rFonts w:hint="eastAsia" w:ascii="Times New Roman" w:hAnsi="Times New Roman" w:eastAsia="黑体" w:cs="Times New Roman"/>
          <w:b w:val="0"/>
          <w:bCs w:val="0"/>
          <w:color w:val="auto"/>
          <w:sz w:val="32"/>
          <w:szCs w:val="32"/>
          <w:highlight w:val="none"/>
          <w:lang w:val="en-US" w:eastAsia="zh-CN"/>
        </w:rPr>
        <w:t>八</w:t>
      </w:r>
      <w:r>
        <w:rPr>
          <w:rFonts w:hint="eastAsia" w:ascii="Times New Roman" w:hAnsi="Times New Roman" w:eastAsia="黑体" w:cs="Times New Roman"/>
          <w:b w:val="0"/>
          <w:bCs w:val="0"/>
          <w:color w:val="auto"/>
          <w:sz w:val="32"/>
          <w:szCs w:val="32"/>
          <w:highlight w:val="none"/>
          <w:lang w:eastAsia="zh"/>
        </w:rPr>
        <w:t>章 计量和结算</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560B82D">
      <w:pPr>
        <w:pStyle w:val="2"/>
        <w:widowControl/>
        <w:adjustRightInd w:val="0"/>
        <w:snapToGrid w:val="0"/>
        <w:spacing w:line="588" w:lineRule="exact"/>
        <w:ind w:firstLineChars="0"/>
        <w:jc w:val="center"/>
        <w:rPr>
          <w:rFonts w:hint="eastAsia" w:ascii="Times New Roman" w:hAnsi="Times New Roman" w:eastAsia="方正楷体_GBK" w:cs="Times New Roman"/>
          <w:b w:val="0"/>
          <w:bCs w:val="0"/>
          <w:color w:val="auto"/>
          <w:sz w:val="32"/>
          <w:szCs w:val="32"/>
          <w:highlight w:val="none"/>
          <w:lang w:val="en-US" w:eastAsia="zh-CN"/>
        </w:rPr>
      </w:pPr>
      <w:bookmarkStart w:id="205" w:name="_Toc11534"/>
      <w:bookmarkStart w:id="206" w:name="_Toc7046"/>
      <w:bookmarkStart w:id="207" w:name="_Toc1691150098"/>
      <w:bookmarkStart w:id="208" w:name="_Toc576459076"/>
      <w:bookmarkStart w:id="209" w:name="_Toc14547"/>
      <w:bookmarkStart w:id="210" w:name="_Toc1256575153"/>
      <w:bookmarkStart w:id="211" w:name="_Toc28166"/>
      <w:bookmarkStart w:id="212" w:name="_Toc4170"/>
      <w:bookmarkStart w:id="213" w:name="_Toc1231"/>
      <w:r>
        <w:rPr>
          <w:rFonts w:hint="eastAsia" w:ascii="Times New Roman" w:hAnsi="Times New Roman" w:eastAsia="方正楷体_GBK" w:cs="Times New Roman"/>
          <w:b w:val="0"/>
          <w:bCs w:val="0"/>
          <w:color w:val="auto"/>
          <w:sz w:val="32"/>
          <w:szCs w:val="32"/>
          <w:highlight w:val="none"/>
        </w:rPr>
        <w:t xml:space="preserve">第一节 </w:t>
      </w:r>
      <w:r>
        <w:rPr>
          <w:rFonts w:hint="eastAsia" w:ascii="Times New Roman" w:hAnsi="Times New Roman" w:eastAsia="方正楷体_GBK" w:cs="Times New Roman"/>
          <w:b w:val="0"/>
          <w:bCs w:val="0"/>
          <w:color w:val="auto"/>
          <w:sz w:val="32"/>
          <w:szCs w:val="32"/>
          <w:highlight w:val="none"/>
          <w:lang w:val="en-US" w:eastAsia="zh-CN"/>
        </w:rPr>
        <w:t>计量</w:t>
      </w:r>
      <w:bookmarkEnd w:id="205"/>
      <w:bookmarkEnd w:id="206"/>
      <w:bookmarkEnd w:id="207"/>
      <w:bookmarkEnd w:id="208"/>
      <w:bookmarkEnd w:id="209"/>
      <w:bookmarkEnd w:id="210"/>
      <w:bookmarkEnd w:id="211"/>
      <w:bookmarkEnd w:id="212"/>
      <w:bookmarkEnd w:id="213"/>
    </w:p>
    <w:p w14:paraId="445F114B">
      <w:pPr>
        <w:numPr>
          <w:ilvl w:val="0"/>
          <w:numId w:val="4"/>
        </w:numPr>
        <w:adjustRightInd w:val="0"/>
        <w:snapToGrid w:val="0"/>
        <w:spacing w:line="588" w:lineRule="exact"/>
        <w:ind w:left="-13" w:firstLine="640"/>
        <w:rPr>
          <w:rFonts w:hint="eastAsia" w:ascii="Times New Roman" w:hAnsi="Times New Roman" w:eastAsia="方正仿宋_GBK" w:cs="Times New Roman"/>
          <w:b w:val="0"/>
          <w:bCs w:val="0"/>
          <w:color w:val="auto"/>
          <w:sz w:val="32"/>
          <w:szCs w:val="32"/>
          <w:highlight w:val="none"/>
        </w:rPr>
      </w:pPr>
      <w:bookmarkStart w:id="214" w:name="_Toc4088"/>
      <w:bookmarkStart w:id="215" w:name="_Toc7706"/>
      <w:bookmarkStart w:id="216" w:name="_Toc288463985"/>
      <w:bookmarkStart w:id="217" w:name="_Toc889"/>
      <w:bookmarkStart w:id="218" w:name="_Toc16062"/>
      <w:r>
        <w:rPr>
          <w:rFonts w:hint="eastAsia" w:ascii="Times New Roman" w:hAnsi="Times New Roman" w:eastAsia="方正仿宋_GBK" w:cs="Times New Roman"/>
          <w:b w:val="0"/>
          <w:bCs w:val="0"/>
          <w:color w:val="auto"/>
          <w:sz w:val="32"/>
          <w:szCs w:val="32"/>
          <w:highlight w:val="none"/>
        </w:rPr>
        <w:t>多台发电机组共用计量点且无法拆分，各发电机组需分别结算时，按照每台机组的实际发电量</w:t>
      </w:r>
      <w:r>
        <w:rPr>
          <w:rFonts w:hint="eastAsia" w:ascii="Times New Roman" w:hAnsi="Times New Roman" w:eastAsia="方正仿宋_GBK" w:cs="Times New Roman"/>
          <w:b w:val="0"/>
          <w:bCs w:val="0"/>
          <w:color w:val="auto"/>
          <w:sz w:val="32"/>
          <w:szCs w:val="32"/>
          <w:highlight w:val="none"/>
          <w:lang w:val="en-US" w:eastAsia="zh-CN"/>
        </w:rPr>
        <w:t>或额定容量</w:t>
      </w:r>
      <w:r>
        <w:rPr>
          <w:rFonts w:hint="eastAsia" w:ascii="Times New Roman" w:hAnsi="Times New Roman" w:eastAsia="方正仿宋_GBK" w:cs="Times New Roman"/>
          <w:b w:val="0"/>
          <w:bCs w:val="0"/>
          <w:color w:val="auto"/>
          <w:sz w:val="32"/>
          <w:szCs w:val="32"/>
          <w:highlight w:val="none"/>
        </w:rPr>
        <w:t>等比例计算各自上网电量。对于风电、光伏发电企业处于相同运行状态的不同项目批次共用计量点的机组，可按照额定容量比例计算各自上网电量。</w:t>
      </w:r>
    </w:p>
    <w:p w14:paraId="4E88875B">
      <w:pPr>
        <w:numPr>
          <w:ilvl w:val="-1"/>
          <w:numId w:val="0"/>
        </w:numPr>
        <w:adjustRightInd w:val="0"/>
        <w:snapToGrid w:val="0"/>
        <w:spacing w:line="588" w:lineRule="exact"/>
        <w:ind w:left="0" w:firstLine="640" w:firstLineChars="200"/>
        <w:rPr>
          <w:rFonts w:hint="eastAsia" w:ascii="Times New Roman" w:hAnsi="Times New Roman" w:eastAsia="仿宋" w:cs="Times New Roman"/>
          <w:b w:val="0"/>
          <w:bCs w:val="0"/>
          <w:color w:val="auto"/>
          <w:sz w:val="32"/>
          <w:szCs w:val="32"/>
          <w:highlight w:val="none"/>
        </w:rPr>
      </w:pPr>
      <w:r>
        <w:rPr>
          <w:rFonts w:hint="eastAsia" w:ascii="Times New Roman" w:hAnsi="Times New Roman" w:eastAsia="仿宋" w:cs="Times New Roman"/>
          <w:b w:val="0"/>
          <w:bCs w:val="0"/>
          <w:color w:val="auto"/>
          <w:sz w:val="32"/>
          <w:szCs w:val="32"/>
          <w:highlight w:val="none"/>
        </w:rPr>
        <w:t>处于调试期的机组，如果和其他机组共用计量点，按照机组调试期的发电量等比例拆分共用计量点的上网电量，确定调试期的上网电量。</w:t>
      </w:r>
    </w:p>
    <w:p w14:paraId="70B0D42A">
      <w:pPr>
        <w:numPr>
          <w:ilvl w:val="0"/>
          <w:numId w:val="4"/>
        </w:numPr>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其他计量有关要求按《电力市场计量结算基本规则》执行。</w:t>
      </w:r>
    </w:p>
    <w:p w14:paraId="445A4D7F">
      <w:pPr>
        <w:pStyle w:val="2"/>
        <w:widowControl/>
        <w:adjustRightInd w:val="0"/>
        <w:snapToGrid w:val="0"/>
        <w:spacing w:line="588" w:lineRule="exact"/>
        <w:jc w:val="center"/>
        <w:rPr>
          <w:rFonts w:hint="eastAsia" w:ascii="Times New Roman" w:hAnsi="Times New Roman" w:eastAsia="方正楷体_GBK" w:cs="Times New Roman"/>
          <w:b w:val="0"/>
          <w:bCs w:val="0"/>
          <w:color w:val="auto"/>
          <w:szCs w:val="32"/>
          <w:highlight w:val="none"/>
        </w:rPr>
      </w:pPr>
      <w:bookmarkStart w:id="219" w:name="_Toc84547271"/>
      <w:bookmarkStart w:id="220" w:name="_Toc24731"/>
      <w:bookmarkStart w:id="221" w:name="_Toc850130861"/>
      <w:bookmarkStart w:id="222" w:name="_Toc3636"/>
      <w:bookmarkStart w:id="223" w:name="_Toc25930"/>
      <w:bookmarkStart w:id="224" w:name="_Toc11173"/>
      <w:bookmarkStart w:id="225" w:name="_Toc5302"/>
      <w:bookmarkStart w:id="226" w:name="_Toc1431584967"/>
      <w:r>
        <w:rPr>
          <w:rFonts w:hint="eastAsia" w:ascii="Times New Roman" w:hAnsi="Times New Roman" w:eastAsia="方正楷体_GBK" w:cs="Times New Roman"/>
          <w:b w:val="0"/>
          <w:bCs w:val="0"/>
          <w:color w:val="auto"/>
          <w:sz w:val="32"/>
          <w:szCs w:val="32"/>
          <w:highlight w:val="none"/>
        </w:rPr>
        <w:t>第</w:t>
      </w:r>
      <w:r>
        <w:rPr>
          <w:rFonts w:hint="eastAsia" w:ascii="Times New Roman" w:hAnsi="Times New Roman" w:eastAsia="方正楷体_GBK" w:cs="Times New Roman"/>
          <w:b w:val="0"/>
          <w:bCs w:val="0"/>
          <w:color w:val="auto"/>
          <w:sz w:val="32"/>
          <w:szCs w:val="32"/>
          <w:highlight w:val="none"/>
          <w:lang w:val="en-US" w:eastAsia="zh-CN"/>
        </w:rPr>
        <w:t>二</w:t>
      </w:r>
      <w:r>
        <w:rPr>
          <w:rFonts w:hint="eastAsia" w:ascii="Times New Roman" w:hAnsi="Times New Roman" w:eastAsia="方正楷体_GBK" w:cs="Times New Roman"/>
          <w:b w:val="0"/>
          <w:bCs w:val="0"/>
          <w:color w:val="auto"/>
          <w:sz w:val="32"/>
          <w:szCs w:val="32"/>
          <w:highlight w:val="none"/>
        </w:rPr>
        <w:t xml:space="preserve">节 </w:t>
      </w:r>
      <w:r>
        <w:rPr>
          <w:rFonts w:hint="eastAsia" w:ascii="Times New Roman" w:hAnsi="Times New Roman" w:eastAsia="方正楷体_GBK" w:cs="Times New Roman"/>
          <w:b w:val="0"/>
          <w:bCs w:val="0"/>
          <w:color w:val="auto"/>
          <w:sz w:val="32"/>
          <w:szCs w:val="32"/>
          <w:highlight w:val="none"/>
          <w:lang w:val="en-US" w:eastAsia="zh-CN"/>
        </w:rPr>
        <w:t>结算</w:t>
      </w:r>
      <w:bookmarkEnd w:id="219"/>
      <w:bookmarkEnd w:id="220"/>
      <w:bookmarkEnd w:id="221"/>
      <w:bookmarkEnd w:id="222"/>
      <w:bookmarkEnd w:id="223"/>
      <w:bookmarkEnd w:id="224"/>
      <w:bookmarkEnd w:id="225"/>
      <w:bookmarkEnd w:id="226"/>
    </w:p>
    <w:p w14:paraId="25DC2BFB">
      <w:pPr>
        <w:numPr>
          <w:ilvl w:val="0"/>
          <w:numId w:val="4"/>
        </w:numPr>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电力中长期市场结算原</w:t>
      </w:r>
      <w:r>
        <w:rPr>
          <w:rFonts w:hint="eastAsia" w:ascii="Times New Roman" w:hAnsi="Times New Roman" w:eastAsia="方正仿宋_GBK" w:cs="Times New Roman"/>
          <w:b w:val="0"/>
          <w:bCs w:val="0"/>
          <w:color w:val="auto"/>
          <w:sz w:val="32"/>
          <w:szCs w:val="32"/>
          <w:highlight w:val="none"/>
        </w:rPr>
        <w:t>则上以自然月为周期</w:t>
      </w:r>
      <w:r>
        <w:rPr>
          <w:rFonts w:hint="eastAsia" w:ascii="Times New Roman" w:hAnsi="Times New Roman" w:eastAsia="方正仿宋_GBK" w:cs="Times New Roman"/>
          <w:b w:val="0"/>
          <w:bCs w:val="0"/>
          <w:color w:val="auto"/>
          <w:sz w:val="32"/>
          <w:szCs w:val="32"/>
          <w:highlight w:val="none"/>
          <w:lang w:val="en-US" w:eastAsia="zh-CN"/>
        </w:rPr>
        <w:t>开展，按日开展</w:t>
      </w:r>
      <w:r>
        <w:rPr>
          <w:rFonts w:hint="eastAsia" w:ascii="Times New Roman" w:hAnsi="Times New Roman" w:eastAsia="方正仿宋_GBK" w:cs="Times New Roman"/>
          <w:b w:val="0"/>
          <w:bCs w:val="0"/>
          <w:strike w:val="0"/>
          <w:color w:val="auto"/>
          <w:sz w:val="32"/>
          <w:szCs w:val="32"/>
          <w:highlight w:val="none"/>
          <w:u w:val="none"/>
          <w:lang w:val="en-US" w:eastAsia="zh-CN"/>
        </w:rPr>
        <w:t>清分、</w:t>
      </w:r>
      <w:r>
        <w:rPr>
          <w:rFonts w:hint="eastAsia" w:ascii="Times New Roman" w:hAnsi="Times New Roman" w:eastAsia="方正仿宋_GBK" w:cs="Times New Roman"/>
          <w:b w:val="0"/>
          <w:bCs w:val="0"/>
          <w:color w:val="auto"/>
          <w:sz w:val="32"/>
          <w:szCs w:val="32"/>
          <w:highlight w:val="none"/>
          <w:lang w:val="en-US" w:eastAsia="zh-CN"/>
        </w:rPr>
        <w:t>按月开展结算。</w:t>
      </w:r>
    </w:p>
    <w:p w14:paraId="16BEFFA1">
      <w:pPr>
        <w:widowControl/>
        <w:numPr>
          <w:ilvl w:val="0"/>
          <w:numId w:val="4"/>
        </w:numPr>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应</w:t>
      </w:r>
      <w:r>
        <w:rPr>
          <w:rFonts w:hint="eastAsia" w:ascii="Times New Roman" w:hAnsi="Times New Roman" w:eastAsia="方正仿宋_GBK" w:cs="Times New Roman"/>
          <w:b w:val="0"/>
          <w:bCs w:val="0"/>
          <w:color w:val="auto"/>
          <w:sz w:val="32"/>
          <w:szCs w:val="32"/>
          <w:highlight w:val="none"/>
        </w:rPr>
        <w:t>设置电力中长期结算参考点，作为</w:t>
      </w:r>
      <w:r>
        <w:rPr>
          <w:rFonts w:hint="eastAsia" w:ascii="Times New Roman" w:hAnsi="Times New Roman" w:eastAsia="方正仿宋_GBK" w:cs="Times New Roman"/>
          <w:b w:val="0"/>
          <w:bCs w:val="0"/>
          <w:color w:val="auto"/>
          <w:sz w:val="32"/>
          <w:szCs w:val="32"/>
          <w:highlight w:val="none"/>
          <w:lang w:val="en-US" w:eastAsia="zh-CN"/>
        </w:rPr>
        <w:t>电力中长期市场</w:t>
      </w:r>
      <w:r>
        <w:rPr>
          <w:rFonts w:hint="eastAsia" w:ascii="Times New Roman" w:hAnsi="Times New Roman" w:eastAsia="方正仿宋_GBK" w:cs="Times New Roman"/>
          <w:b w:val="0"/>
          <w:bCs w:val="0"/>
          <w:color w:val="auto"/>
          <w:sz w:val="32"/>
          <w:szCs w:val="32"/>
          <w:highlight w:val="none"/>
        </w:rPr>
        <w:t>电量在现货市场的交割点，参考点价格可以由日前市场出清价格或者实时市场出清价格确定。</w:t>
      </w:r>
    </w:p>
    <w:p w14:paraId="5412F141">
      <w:pPr>
        <w:numPr>
          <w:ilvl w:val="0"/>
          <w:numId w:val="4"/>
        </w:numPr>
        <w:adjustRightInd w:val="0"/>
        <w:snapToGrid w:val="0"/>
        <w:spacing w:line="588" w:lineRule="exact"/>
        <w:ind w:left="-13" w:firstLine="640" w:firstLineChars="0"/>
        <w:jc w:val="left"/>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电力中长期</w:t>
      </w:r>
      <w:r>
        <w:rPr>
          <w:rFonts w:hint="eastAsia" w:ascii="Times New Roman" w:hAnsi="Times New Roman" w:eastAsia="方正仿宋_GBK" w:cs="Times New Roman"/>
          <w:b w:val="0"/>
          <w:bCs w:val="0"/>
          <w:color w:val="auto"/>
          <w:sz w:val="32"/>
          <w:szCs w:val="32"/>
          <w:highlight w:val="none"/>
        </w:rPr>
        <w:t>市场</w:t>
      </w:r>
      <w:r>
        <w:rPr>
          <w:rFonts w:hint="eastAsia" w:ascii="Times New Roman" w:hAnsi="Times New Roman" w:eastAsia="方正仿宋_GBK" w:cs="Times New Roman"/>
          <w:b w:val="0"/>
          <w:bCs w:val="0"/>
          <w:color w:val="auto"/>
          <w:sz w:val="32"/>
          <w:szCs w:val="32"/>
          <w:highlight w:val="none"/>
          <w:lang w:val="en-US" w:eastAsia="zh-CN"/>
        </w:rPr>
        <w:t>结算</w:t>
      </w:r>
      <w:r>
        <w:rPr>
          <w:rFonts w:hint="eastAsia" w:ascii="Times New Roman" w:hAnsi="Times New Roman" w:eastAsia="方正仿宋_GBK" w:cs="Times New Roman"/>
          <w:b w:val="0"/>
          <w:bCs w:val="0"/>
          <w:color w:val="auto"/>
          <w:sz w:val="32"/>
          <w:szCs w:val="32"/>
          <w:highlight w:val="none"/>
        </w:rPr>
        <w:t>可按差价结算方式</w:t>
      </w:r>
      <w:r>
        <w:rPr>
          <w:rFonts w:hint="eastAsia" w:ascii="Times New Roman" w:hAnsi="Times New Roman" w:eastAsia="方正仿宋_GBK" w:cs="Times New Roman"/>
          <w:b w:val="0"/>
          <w:bCs w:val="0"/>
          <w:color w:val="auto"/>
          <w:sz w:val="32"/>
          <w:szCs w:val="32"/>
          <w:highlight w:val="none"/>
          <w:lang w:val="en-US" w:eastAsia="zh-CN"/>
        </w:rPr>
        <w:t>或</w:t>
      </w:r>
      <w:r>
        <w:rPr>
          <w:rFonts w:hint="eastAsia" w:ascii="Times New Roman" w:hAnsi="Times New Roman" w:eastAsia="方正仿宋_GBK" w:cs="Times New Roman"/>
          <w:b w:val="0"/>
          <w:bCs w:val="0"/>
          <w:color w:val="auto"/>
          <w:sz w:val="32"/>
          <w:szCs w:val="32"/>
          <w:highlight w:val="none"/>
        </w:rPr>
        <w:t>差量结算方式</w:t>
      </w:r>
      <w:r>
        <w:rPr>
          <w:rFonts w:hint="eastAsia" w:ascii="Times New Roman" w:hAnsi="Times New Roman" w:eastAsia="方正仿宋_GBK" w:cs="Times New Roman"/>
          <w:b w:val="0"/>
          <w:bCs w:val="0"/>
          <w:color w:val="auto"/>
          <w:sz w:val="32"/>
          <w:szCs w:val="32"/>
          <w:highlight w:val="none"/>
          <w:lang w:val="en-US" w:eastAsia="zh-CN"/>
        </w:rPr>
        <w:t>开展。</w:t>
      </w:r>
    </w:p>
    <w:p w14:paraId="29D6D304">
      <w:pPr>
        <w:numPr>
          <w:ilvl w:val="-1"/>
          <w:numId w:val="0"/>
        </w:numPr>
        <w:adjustRightInd w:val="0"/>
        <w:snapToGrid w:val="0"/>
        <w:spacing w:line="588" w:lineRule="exact"/>
        <w:ind w:left="0" w:firstLine="640" w:firstLineChars="200"/>
        <w:jc w:val="left"/>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已注册入市但尚未签订电力中长期合同的经营主体，实际用电量或实际发电量按偏差电量结算处理</w:t>
      </w:r>
      <w:r>
        <w:rPr>
          <w:rFonts w:hint="eastAsia" w:ascii="Times New Roman" w:hAnsi="Times New Roman" w:eastAsia="方正仿宋_GBK" w:cs="Times New Roman"/>
          <w:b w:val="0"/>
          <w:bCs w:val="0"/>
          <w:color w:val="auto"/>
          <w:sz w:val="32"/>
          <w:szCs w:val="32"/>
          <w:highlight w:val="none"/>
          <w:lang w:eastAsia="zh-CN"/>
        </w:rPr>
        <w:t>。</w:t>
      </w:r>
    </w:p>
    <w:p w14:paraId="10751C9F">
      <w:pPr>
        <w:keepNext w:val="0"/>
        <w:keepLines w:val="0"/>
        <w:widowControl/>
        <w:numPr>
          <w:ilvl w:val="0"/>
          <w:numId w:val="4"/>
        </w:numPr>
        <w:suppressLineNumbers w:val="0"/>
        <w:adjustRightInd w:val="0"/>
        <w:snapToGrid w:val="0"/>
        <w:spacing w:line="588" w:lineRule="exact"/>
        <w:ind w:left="-13" w:firstLine="640" w:firstLineChars="0"/>
        <w:jc w:val="both"/>
        <w:rPr>
          <w:rFonts w:hint="eastAsia" w:ascii="Times New Roman" w:hAnsi="Times New Roman" w:eastAsia="仿宋"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电网企业应向电力交易机构分别提供代理工商业用户购电、居民和农业用户电量信息，偏差分开结算。</w:t>
      </w:r>
    </w:p>
    <w:p w14:paraId="1ABE8093">
      <w:pPr>
        <w:numPr>
          <w:ilvl w:val="0"/>
          <w:numId w:val="4"/>
        </w:numPr>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虚拟电厂、负荷聚合商及聚合资源按照</w:t>
      </w:r>
      <w:r>
        <w:rPr>
          <w:rFonts w:hint="eastAsia" w:ascii="Times New Roman" w:hAnsi="Times New Roman" w:eastAsia="方正仿宋_GBK" w:cs="Times New Roman"/>
          <w:b w:val="0"/>
          <w:bCs w:val="0"/>
          <w:color w:val="auto"/>
          <w:sz w:val="32"/>
          <w:szCs w:val="32"/>
          <w:highlight w:val="none"/>
        </w:rPr>
        <w:t>合同明确</w:t>
      </w:r>
      <w:r>
        <w:rPr>
          <w:rFonts w:hint="eastAsia" w:ascii="Times New Roman" w:hAnsi="Times New Roman" w:eastAsia="方正仿宋_GBK" w:cs="Times New Roman"/>
          <w:b w:val="0"/>
          <w:bCs w:val="0"/>
          <w:color w:val="auto"/>
          <w:sz w:val="32"/>
          <w:szCs w:val="32"/>
          <w:highlight w:val="none"/>
          <w:lang w:val="en-US" w:eastAsia="zh-CN"/>
        </w:rPr>
        <w:t>的</w:t>
      </w:r>
      <w:r>
        <w:rPr>
          <w:rFonts w:hint="eastAsia" w:ascii="Times New Roman" w:hAnsi="Times New Roman" w:eastAsia="方正仿宋_GBK" w:cs="Times New Roman"/>
          <w:b w:val="0"/>
          <w:bCs w:val="0"/>
          <w:color w:val="auto"/>
          <w:sz w:val="32"/>
          <w:szCs w:val="32"/>
          <w:highlight w:val="none"/>
        </w:rPr>
        <w:t>电能量价格</w:t>
      </w:r>
      <w:r>
        <w:rPr>
          <w:rFonts w:hint="eastAsia" w:ascii="Times New Roman" w:hAnsi="Times New Roman" w:eastAsia="方正仿宋_GBK" w:cs="Times New Roman"/>
          <w:b w:val="0"/>
          <w:bCs w:val="0"/>
          <w:color w:val="auto"/>
          <w:sz w:val="32"/>
          <w:szCs w:val="32"/>
          <w:highlight w:val="none"/>
          <w:lang w:val="en-US" w:eastAsia="zh-CN"/>
        </w:rPr>
        <w:t>单独结算</w:t>
      </w:r>
      <w:r>
        <w:rPr>
          <w:rFonts w:hint="eastAsia" w:ascii="Times New Roman" w:hAnsi="Times New Roman" w:eastAsia="方正仿宋_GBK" w:cs="Times New Roman"/>
          <w:b w:val="0"/>
          <w:bCs w:val="0"/>
          <w:color w:val="auto"/>
          <w:sz w:val="32"/>
          <w:szCs w:val="32"/>
          <w:highlight w:val="none"/>
        </w:rPr>
        <w:t>。</w:t>
      </w:r>
    </w:p>
    <w:p w14:paraId="6FCC7A3A">
      <w:pPr>
        <w:pageBreakBefore w:val="0"/>
        <w:numPr>
          <w:ilvl w:val="0"/>
          <w:numId w:val="4"/>
        </w:numPr>
        <w:kinsoku/>
        <w:wordWrap/>
        <w:overflowPunct/>
        <w:topLinePunct w:val="0"/>
        <w:autoSpaceDN/>
        <w:bidi w:val="0"/>
        <w:adjustRightInd w:val="0"/>
        <w:snapToGrid w:val="0"/>
        <w:spacing w:line="588" w:lineRule="exact"/>
        <w:ind w:left="-13" w:leftChars="0"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绿电交易电能量与</w:t>
      </w: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环境价值分开结算</w:t>
      </w:r>
      <w:r>
        <w:rPr>
          <w:rFonts w:hint="eastAsia" w:ascii="Times New Roman" w:hAnsi="Times New Roman" w:eastAsia="方正仿宋_GBK" w:cs="Times New Roman"/>
          <w:b w:val="0"/>
          <w:bCs w:val="0"/>
          <w:color w:val="auto"/>
          <w:sz w:val="32"/>
          <w:szCs w:val="32"/>
          <w:highlight w:val="none"/>
          <w:lang w:eastAsia="zh"/>
        </w:rPr>
        <w:t>。</w:t>
      </w:r>
      <w:r>
        <w:rPr>
          <w:rFonts w:hint="eastAsia" w:ascii="Times New Roman" w:hAnsi="Times New Roman" w:eastAsia="方正仿宋_GBK" w:cs="Times New Roman"/>
          <w:b w:val="0"/>
          <w:bCs w:val="0"/>
          <w:color w:val="auto"/>
          <w:sz w:val="32"/>
          <w:szCs w:val="32"/>
          <w:highlight w:val="none"/>
        </w:rPr>
        <w:t>电能量部分按照</w:t>
      </w:r>
      <w:r>
        <w:rPr>
          <w:rFonts w:hint="eastAsia" w:ascii="Times New Roman" w:hAnsi="Times New Roman" w:eastAsia="方正仿宋_GBK" w:cs="Times New Roman"/>
          <w:b w:val="0"/>
          <w:bCs w:val="0"/>
          <w:color w:val="auto"/>
          <w:sz w:val="32"/>
          <w:szCs w:val="32"/>
          <w:highlight w:val="none"/>
          <w:lang w:val="en-US" w:eastAsia="zh-CN"/>
        </w:rPr>
        <w:t>本章相关条款开展结算。</w:t>
      </w:r>
      <w:r>
        <w:rPr>
          <w:rFonts w:hint="eastAsia" w:ascii="Times New Roman" w:hAnsi="Times New Roman" w:eastAsia="方正仿宋_GBK" w:cs="Times New Roman"/>
          <w:b w:val="0"/>
          <w:bCs w:val="0"/>
          <w:color w:val="auto"/>
          <w:sz w:val="32"/>
          <w:szCs w:val="32"/>
          <w:highlight w:val="none"/>
          <w:lang w:eastAsia="zh-CN"/>
        </w:rPr>
        <w:t>纳入可持续发展价格结算机制的电量，不重复获得绿证收益</w:t>
      </w:r>
      <w:r>
        <w:rPr>
          <w:rFonts w:hint="eastAsia" w:ascii="Times New Roman" w:hAnsi="Times New Roman" w:eastAsia="方正仿宋_GBK" w:cs="Times New Roman"/>
          <w:b w:val="0"/>
          <w:bCs w:val="0"/>
          <w:color w:val="auto"/>
          <w:sz w:val="32"/>
          <w:szCs w:val="32"/>
          <w:highlight w:val="none"/>
        </w:rPr>
        <w:t>。</w:t>
      </w: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环境价值部分按当月合同电量、发电侧上网电量</w:t>
      </w:r>
      <w:r>
        <w:rPr>
          <w:rFonts w:hint="eastAsia" w:ascii="Times New Roman" w:hAnsi="Times New Roman" w:eastAsia="方正仿宋_GBK" w:cs="Times New Roman"/>
          <w:b w:val="0"/>
          <w:bCs w:val="0"/>
          <w:color w:val="auto"/>
          <w:sz w:val="32"/>
          <w:szCs w:val="32"/>
          <w:highlight w:val="none"/>
          <w:lang w:eastAsia="zh-CN"/>
        </w:rPr>
        <w:t>（扣除纳入可持续发展价格结算机制的电量）</w:t>
      </w:r>
      <w:r>
        <w:rPr>
          <w:rFonts w:hint="eastAsia" w:ascii="Times New Roman" w:hAnsi="Times New Roman" w:eastAsia="方正仿宋_GBK" w:cs="Times New Roman"/>
          <w:b w:val="0"/>
          <w:bCs w:val="0"/>
          <w:color w:val="auto"/>
          <w:sz w:val="32"/>
          <w:szCs w:val="32"/>
          <w:highlight w:val="none"/>
          <w:lang w:val="en-US" w:eastAsia="zh-CN"/>
        </w:rPr>
        <w:t>、用电侧</w:t>
      </w:r>
      <w:r>
        <w:rPr>
          <w:rFonts w:hint="eastAsia" w:ascii="Times New Roman" w:hAnsi="Times New Roman" w:eastAsia="方正仿宋_GBK" w:cs="Times New Roman"/>
          <w:b w:val="0"/>
          <w:bCs w:val="0"/>
          <w:color w:val="auto"/>
          <w:sz w:val="32"/>
          <w:szCs w:val="32"/>
          <w:highlight w:val="none"/>
        </w:rPr>
        <w:t>电量三者取小的原则确定</w:t>
      </w:r>
      <w:r>
        <w:rPr>
          <w:rFonts w:hint="eastAsia" w:ascii="Times New Roman" w:hAnsi="Times New Roman" w:eastAsia="方正仿宋_GBK" w:cs="Times New Roman"/>
          <w:b w:val="0"/>
          <w:bCs w:val="0"/>
          <w:color w:val="auto"/>
          <w:sz w:val="32"/>
          <w:szCs w:val="32"/>
          <w:highlight w:val="none"/>
          <w:lang w:eastAsia="zh-CN"/>
        </w:rPr>
        <w:t>。</w:t>
      </w:r>
    </w:p>
    <w:p w14:paraId="52549FF3">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绿电</w:t>
      </w:r>
      <w:r>
        <w:rPr>
          <w:rFonts w:hint="eastAsia" w:ascii="Times New Roman" w:hAnsi="Times New Roman" w:eastAsia="方正仿宋_GBK" w:cs="Times New Roman"/>
          <w:b w:val="0"/>
          <w:bCs w:val="0"/>
          <w:color w:val="auto"/>
          <w:sz w:val="32"/>
          <w:szCs w:val="32"/>
          <w:highlight w:val="none"/>
        </w:rPr>
        <w:t>环境价值偏差补偿费用按照</w:t>
      </w:r>
      <w:r>
        <w:rPr>
          <w:rFonts w:hint="eastAsia" w:ascii="Times New Roman" w:hAnsi="Times New Roman" w:eastAsia="方正仿宋_GBK" w:cs="Times New Roman"/>
          <w:b w:val="0"/>
          <w:bCs w:val="0"/>
          <w:color w:val="auto"/>
          <w:sz w:val="32"/>
          <w:szCs w:val="32"/>
          <w:highlight w:val="none"/>
          <w:lang w:eastAsia="zh-CN"/>
        </w:rPr>
        <w:t>合同规定执行。</w:t>
      </w:r>
    </w:p>
    <w:p w14:paraId="398BC080">
      <w:pPr>
        <w:numPr>
          <w:ilvl w:val="0"/>
          <w:numId w:val="4"/>
        </w:numPr>
        <w:adjustRightInd w:val="0"/>
        <w:snapToGrid w:val="0"/>
        <w:spacing w:line="588" w:lineRule="exact"/>
        <w:ind w:left="-13" w:firstLine="640"/>
        <w:rPr>
          <w:rFonts w:hint="default"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绿电交易对应的</w:t>
      </w:r>
      <w:r>
        <w:rPr>
          <w:rFonts w:hint="eastAsia" w:ascii="Times New Roman" w:hAnsi="Times New Roman" w:eastAsia="方正仿宋_GBK" w:cs="Times New Roman"/>
          <w:b w:val="0"/>
          <w:bCs w:val="0"/>
          <w:color w:val="auto"/>
          <w:sz w:val="32"/>
          <w:szCs w:val="32"/>
          <w:highlight w:val="none"/>
        </w:rPr>
        <w:t>绿证根据可再生能源发电项目月度结算电量，经审核后统一核发，</w:t>
      </w:r>
      <w:r>
        <w:rPr>
          <w:rFonts w:hint="eastAsia" w:ascii="Times New Roman" w:hAnsi="Times New Roman" w:eastAsia="方正仿宋_GBK" w:cs="Times New Roman"/>
          <w:b w:val="0"/>
          <w:bCs w:val="0"/>
          <w:color w:val="auto"/>
          <w:sz w:val="32"/>
          <w:szCs w:val="32"/>
          <w:highlight w:val="none"/>
          <w:lang w:eastAsia="zh-CN"/>
        </w:rPr>
        <w:t>并</w:t>
      </w:r>
      <w:r>
        <w:rPr>
          <w:rFonts w:hint="eastAsia" w:ascii="Times New Roman" w:hAnsi="Times New Roman" w:eastAsia="方正仿宋_GBK" w:cs="Times New Roman"/>
          <w:b w:val="0"/>
          <w:bCs w:val="0"/>
          <w:color w:val="auto"/>
          <w:sz w:val="32"/>
          <w:szCs w:val="32"/>
          <w:highlight w:val="none"/>
        </w:rPr>
        <w:t>按规定将相应绿证</w:t>
      </w:r>
      <w:r>
        <w:rPr>
          <w:rFonts w:hint="eastAsia" w:ascii="Times New Roman" w:hAnsi="Times New Roman" w:eastAsia="方正仿宋_GBK" w:cs="Times New Roman"/>
          <w:b w:val="0"/>
          <w:bCs w:val="0"/>
          <w:color w:val="auto"/>
          <w:sz w:val="32"/>
          <w:szCs w:val="32"/>
          <w:highlight w:val="none"/>
          <w:lang w:eastAsia="zh-CN"/>
        </w:rPr>
        <w:t>由</w:t>
      </w:r>
      <w:r>
        <w:rPr>
          <w:rFonts w:hint="eastAsia" w:ascii="Times New Roman" w:hAnsi="Times New Roman" w:eastAsia="方正仿宋_GBK" w:cs="Times New Roman"/>
          <w:b w:val="0"/>
          <w:bCs w:val="0"/>
          <w:color w:val="auto"/>
          <w:sz w:val="32"/>
          <w:szCs w:val="32"/>
          <w:highlight w:val="none"/>
        </w:rPr>
        <w:t>发电企业或项目业主的绿证账户随绿电交易划转至买方账户</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绿证划转</w:t>
      </w:r>
      <w:r>
        <w:rPr>
          <w:rFonts w:hint="eastAsia" w:ascii="Times New Roman" w:hAnsi="Times New Roman" w:eastAsia="方正仿宋_GBK" w:cs="Times New Roman"/>
          <w:b w:val="0"/>
          <w:bCs w:val="0"/>
          <w:color w:val="auto"/>
          <w:sz w:val="32"/>
          <w:szCs w:val="32"/>
          <w:highlight w:val="none"/>
        </w:rPr>
        <w:t>应确保绿色电力环境价值的唯一性，不得重复计算或出售</w:t>
      </w:r>
      <w:r>
        <w:rPr>
          <w:rFonts w:hint="eastAsia" w:ascii="Times New Roman" w:hAnsi="Times New Roman" w:eastAsia="方正仿宋_GBK" w:cs="Times New Roman"/>
          <w:b w:val="0"/>
          <w:bCs w:val="0"/>
          <w:color w:val="auto"/>
          <w:sz w:val="32"/>
          <w:szCs w:val="32"/>
          <w:highlight w:val="none"/>
          <w:lang w:eastAsia="zh-CN"/>
        </w:rPr>
        <w:t>。</w:t>
      </w:r>
    </w:p>
    <w:p w14:paraId="105E86CF">
      <w:pPr>
        <w:numPr>
          <w:ilvl w:val="0"/>
          <w:numId w:val="4"/>
        </w:numPr>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其他结算有关要求按《电力市场计量结算基本规则》执行。</w:t>
      </w:r>
    </w:p>
    <w:bookmarkEnd w:id="214"/>
    <w:bookmarkEnd w:id="215"/>
    <w:bookmarkEnd w:id="216"/>
    <w:bookmarkEnd w:id="217"/>
    <w:bookmarkEnd w:id="218"/>
    <w:p w14:paraId="17C75E29">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val="en-US" w:eastAsia="zh-CN"/>
        </w:rPr>
      </w:pPr>
      <w:bookmarkStart w:id="227" w:name="_Toc1949320282"/>
      <w:bookmarkStart w:id="228" w:name="_Toc2021330583"/>
      <w:bookmarkStart w:id="229" w:name="_Toc952097805"/>
      <w:bookmarkStart w:id="230" w:name="_Toc29243"/>
      <w:bookmarkStart w:id="231" w:name="_Toc6086"/>
      <w:bookmarkStart w:id="232" w:name="_Toc1998759338"/>
      <w:bookmarkStart w:id="233" w:name="_Toc26462"/>
      <w:bookmarkStart w:id="234" w:name="_Toc28532"/>
      <w:bookmarkStart w:id="235" w:name="_Toc24146"/>
      <w:bookmarkStart w:id="236" w:name="_Toc20439"/>
      <w:bookmarkStart w:id="237" w:name="_Toc24326"/>
      <w:r>
        <w:rPr>
          <w:rFonts w:hint="eastAsia" w:ascii="Times New Roman" w:hAnsi="Times New Roman" w:eastAsia="黑体" w:cs="Times New Roman"/>
          <w:b w:val="0"/>
          <w:bCs w:val="0"/>
          <w:color w:val="auto"/>
          <w:sz w:val="32"/>
          <w:szCs w:val="32"/>
          <w:highlight w:val="none"/>
          <w:lang w:eastAsia="zh"/>
        </w:rPr>
        <w:t>第</w:t>
      </w:r>
      <w:r>
        <w:rPr>
          <w:rFonts w:hint="eastAsia" w:ascii="Times New Roman" w:hAnsi="Times New Roman" w:eastAsia="黑体" w:cs="Times New Roman"/>
          <w:b w:val="0"/>
          <w:bCs w:val="0"/>
          <w:color w:val="auto"/>
          <w:sz w:val="32"/>
          <w:szCs w:val="32"/>
          <w:highlight w:val="none"/>
          <w:lang w:val="en-US" w:eastAsia="zh-CN"/>
        </w:rPr>
        <w:t>九</w:t>
      </w:r>
      <w:r>
        <w:rPr>
          <w:rFonts w:hint="eastAsia" w:ascii="Times New Roman" w:hAnsi="Times New Roman" w:eastAsia="黑体" w:cs="Times New Roman"/>
          <w:b w:val="0"/>
          <w:bCs w:val="0"/>
          <w:color w:val="auto"/>
          <w:sz w:val="32"/>
          <w:szCs w:val="32"/>
          <w:highlight w:val="none"/>
          <w:lang w:eastAsia="zh"/>
        </w:rPr>
        <w:t xml:space="preserve">章 </w:t>
      </w:r>
      <w:r>
        <w:rPr>
          <w:rFonts w:hint="eastAsia" w:ascii="Times New Roman" w:hAnsi="Times New Roman" w:eastAsia="黑体" w:cs="Times New Roman"/>
          <w:b w:val="0"/>
          <w:bCs w:val="0"/>
          <w:color w:val="auto"/>
          <w:sz w:val="32"/>
          <w:szCs w:val="32"/>
          <w:highlight w:val="none"/>
          <w:lang w:val="en-US" w:eastAsia="zh-CN"/>
        </w:rPr>
        <w:t>信息披露</w:t>
      </w:r>
      <w:bookmarkEnd w:id="227"/>
      <w:bookmarkEnd w:id="228"/>
      <w:bookmarkEnd w:id="229"/>
      <w:bookmarkEnd w:id="230"/>
    </w:p>
    <w:p w14:paraId="6808494D">
      <w:pPr>
        <w:numPr>
          <w:ilvl w:val="0"/>
          <w:numId w:val="4"/>
        </w:numPr>
        <w:adjustRightInd w:val="0"/>
        <w:snapToGrid w:val="0"/>
        <w:spacing w:line="588" w:lineRule="exact"/>
        <w:ind w:left="-13" w:firstLine="640" w:firstLineChars="0"/>
        <w:jc w:val="both"/>
        <w:rPr>
          <w:rFonts w:hint="eastAsia" w:ascii="Times New Roman" w:hAnsi="Times New Roman" w:eastAsia="方正仿宋_GBK" w:cs="Times New Roman"/>
          <w:b w:val="0"/>
          <w:bCs w:val="0"/>
          <w:i w:val="0"/>
          <w:iCs w:val="0"/>
          <w:caps w:val="0"/>
          <w:color w:val="auto"/>
          <w:spacing w:val="0"/>
          <w:sz w:val="32"/>
          <w:szCs w:val="32"/>
          <w:highlight w:val="none"/>
          <w:lang w:bidi="ar"/>
        </w:rPr>
      </w:pPr>
      <w:r>
        <w:rPr>
          <w:rFonts w:hint="eastAsia" w:ascii="Times New Roman" w:hAnsi="Times New Roman" w:eastAsia="方正仿宋_GBK" w:cs="Times New Roman"/>
          <w:b w:val="0"/>
          <w:bCs w:val="0"/>
          <w:i w:val="0"/>
          <w:iCs w:val="0"/>
          <w:caps w:val="0"/>
          <w:color w:val="auto"/>
          <w:spacing w:val="0"/>
          <w:sz w:val="32"/>
          <w:szCs w:val="32"/>
          <w:highlight w:val="none"/>
          <w:lang w:val="en-US" w:eastAsia="zh-CN" w:bidi="ar"/>
        </w:rPr>
        <w:t>信息披露主体</w:t>
      </w:r>
      <w:r>
        <w:rPr>
          <w:rFonts w:hint="eastAsia" w:ascii="Times New Roman" w:hAnsi="Times New Roman" w:eastAsia="方正仿宋_GBK" w:cs="Times New Roman"/>
          <w:b w:val="0"/>
          <w:bCs w:val="0"/>
          <w:i w:val="0"/>
          <w:iCs w:val="0"/>
          <w:caps w:val="0"/>
          <w:color w:val="auto"/>
          <w:spacing w:val="0"/>
          <w:sz w:val="32"/>
          <w:szCs w:val="32"/>
          <w:highlight w:val="none"/>
          <w:lang w:bidi="ar"/>
        </w:rPr>
        <w:t>应严格按照</w:t>
      </w:r>
      <w:r>
        <w:rPr>
          <w:rFonts w:hint="eastAsia" w:ascii="Times New Roman" w:hAnsi="Times New Roman" w:eastAsia="方正仿宋_GBK" w:cs="Times New Roman"/>
          <w:b w:val="0"/>
          <w:bCs w:val="0"/>
          <w:i w:val="0"/>
          <w:iCs w:val="0"/>
          <w:caps w:val="0"/>
          <w:color w:val="auto"/>
          <w:spacing w:val="0"/>
          <w:sz w:val="32"/>
          <w:szCs w:val="32"/>
          <w:highlight w:val="none"/>
          <w:lang w:eastAsia="zh-CN" w:bidi="ar"/>
        </w:rPr>
        <w:t>《</w:t>
      </w:r>
      <w:r>
        <w:rPr>
          <w:rFonts w:hint="eastAsia" w:ascii="Times New Roman" w:hAnsi="Times New Roman" w:eastAsia="方正仿宋_GBK" w:cs="Times New Roman"/>
          <w:b w:val="0"/>
          <w:bCs w:val="0"/>
          <w:i w:val="0"/>
          <w:iCs w:val="0"/>
          <w:caps w:val="0"/>
          <w:color w:val="auto"/>
          <w:spacing w:val="0"/>
          <w:sz w:val="32"/>
          <w:szCs w:val="32"/>
          <w:highlight w:val="none"/>
          <w:lang w:bidi="ar"/>
        </w:rPr>
        <w:t>电力市场信息披露基本规则</w:t>
      </w:r>
      <w:r>
        <w:rPr>
          <w:rFonts w:hint="eastAsia" w:ascii="Times New Roman" w:hAnsi="Times New Roman" w:eastAsia="方正仿宋_GBK" w:cs="Times New Roman"/>
          <w:b w:val="0"/>
          <w:bCs w:val="0"/>
          <w:i w:val="0"/>
          <w:iCs w:val="0"/>
          <w:caps w:val="0"/>
          <w:color w:val="auto"/>
          <w:spacing w:val="0"/>
          <w:sz w:val="32"/>
          <w:szCs w:val="32"/>
          <w:highlight w:val="none"/>
          <w:lang w:eastAsia="zh-CN" w:bidi="ar"/>
        </w:rPr>
        <w:t>》</w:t>
      </w:r>
      <w:r>
        <w:rPr>
          <w:rFonts w:hint="eastAsia" w:ascii="Times New Roman" w:hAnsi="Times New Roman" w:eastAsia="方正仿宋_GBK" w:cs="Times New Roman"/>
          <w:b w:val="0"/>
          <w:bCs w:val="0"/>
          <w:i w:val="0"/>
          <w:iCs w:val="0"/>
          <w:caps w:val="0"/>
          <w:strike w:val="0"/>
          <w:color w:val="auto"/>
          <w:spacing w:val="0"/>
          <w:sz w:val="32"/>
          <w:szCs w:val="32"/>
          <w:highlight w:val="none"/>
          <w:lang w:eastAsia="zh-CN" w:bidi="ar"/>
        </w:rPr>
        <w:t>及信息披露相关</w:t>
      </w:r>
      <w:r>
        <w:rPr>
          <w:rFonts w:hint="eastAsia" w:ascii="Times New Roman" w:hAnsi="Times New Roman" w:eastAsia="方正仿宋_GBK" w:cs="Times New Roman"/>
          <w:b w:val="0"/>
          <w:bCs w:val="0"/>
          <w:i w:val="0"/>
          <w:iCs w:val="0"/>
          <w:caps w:val="0"/>
          <w:strike w:val="0"/>
          <w:color w:val="auto"/>
          <w:spacing w:val="0"/>
          <w:sz w:val="32"/>
          <w:szCs w:val="32"/>
          <w:highlight w:val="none"/>
          <w:lang w:val="en-US" w:eastAsia="zh-CN" w:bidi="ar"/>
        </w:rPr>
        <w:t>规定</w:t>
      </w:r>
      <w:r>
        <w:rPr>
          <w:rFonts w:hint="eastAsia" w:ascii="Times New Roman" w:hAnsi="Times New Roman" w:eastAsia="方正仿宋_GBK" w:cs="Times New Roman"/>
          <w:b w:val="0"/>
          <w:bCs w:val="0"/>
          <w:i w:val="0"/>
          <w:iCs w:val="0"/>
          <w:caps w:val="0"/>
          <w:color w:val="auto"/>
          <w:spacing w:val="0"/>
          <w:sz w:val="32"/>
          <w:szCs w:val="32"/>
          <w:highlight w:val="none"/>
          <w:lang w:bidi="ar"/>
        </w:rPr>
        <w:t>要求披露</w:t>
      </w:r>
      <w:r>
        <w:rPr>
          <w:rFonts w:hint="eastAsia" w:ascii="Times New Roman" w:hAnsi="Times New Roman" w:eastAsia="方正仿宋_GBK" w:cs="Times New Roman"/>
          <w:b w:val="0"/>
          <w:bCs w:val="0"/>
          <w:i w:val="0"/>
          <w:iCs w:val="0"/>
          <w:caps w:val="0"/>
          <w:color w:val="auto"/>
          <w:spacing w:val="0"/>
          <w:sz w:val="32"/>
          <w:szCs w:val="32"/>
          <w:highlight w:val="none"/>
          <w:lang w:val="en-US" w:eastAsia="zh-CN" w:bidi="ar"/>
        </w:rPr>
        <w:t>电力中长期市场相关</w:t>
      </w:r>
      <w:r>
        <w:rPr>
          <w:rFonts w:hint="eastAsia" w:ascii="Times New Roman" w:hAnsi="Times New Roman" w:eastAsia="方正仿宋_GBK" w:cs="Times New Roman"/>
          <w:b w:val="0"/>
          <w:bCs w:val="0"/>
          <w:i w:val="0"/>
          <w:iCs w:val="0"/>
          <w:caps w:val="0"/>
          <w:color w:val="auto"/>
          <w:spacing w:val="0"/>
          <w:sz w:val="32"/>
          <w:szCs w:val="32"/>
          <w:highlight w:val="none"/>
          <w:lang w:bidi="ar"/>
        </w:rPr>
        <w:t>信息，并对其披露信息的真实性、准确性、完整性、及时性负责。</w:t>
      </w:r>
    </w:p>
    <w:p w14:paraId="25ADB0B8">
      <w:pPr>
        <w:numPr>
          <w:ilvl w:val="0"/>
          <w:numId w:val="4"/>
        </w:numPr>
        <w:adjustRightInd w:val="0"/>
        <w:snapToGrid w:val="0"/>
        <w:spacing w:line="588" w:lineRule="exact"/>
        <w:ind w:left="-11" w:firstLine="641" w:firstLineChars="0"/>
        <w:jc w:val="both"/>
        <w:rPr>
          <w:rFonts w:hint="eastAsia" w:ascii="Times New Roman" w:hAnsi="Times New Roman" w:eastAsia="方正仿宋_GBK" w:cs="Times New Roman"/>
          <w:b w:val="0"/>
          <w:bCs w:val="0"/>
          <w:i w:val="0"/>
          <w:iCs w:val="0"/>
          <w:caps w:val="0"/>
          <w:color w:val="auto"/>
          <w:spacing w:val="0"/>
          <w:sz w:val="32"/>
          <w:szCs w:val="32"/>
          <w:highlight w:val="none"/>
          <w:lang w:bidi="ar"/>
        </w:rPr>
      </w:pPr>
      <w:r>
        <w:rPr>
          <w:rFonts w:hint="eastAsia" w:ascii="Times New Roman" w:hAnsi="Times New Roman" w:eastAsia="方正仿宋_GBK" w:cs="Times New Roman"/>
          <w:b w:val="0"/>
          <w:bCs w:val="0"/>
          <w:color w:val="auto"/>
          <w:sz w:val="32"/>
          <w:szCs w:val="32"/>
          <w:highlight w:val="none"/>
          <w:lang w:bidi="ar"/>
        </w:rPr>
        <w:t>电力市场信息按照年、季、月、周、日等周期开展披露</w:t>
      </w:r>
      <w:r>
        <w:rPr>
          <w:rFonts w:hint="eastAsia" w:ascii="Times New Roman" w:hAnsi="Times New Roman" w:eastAsia="方正仿宋_GBK" w:cs="Times New Roman"/>
          <w:b w:val="0"/>
          <w:bCs w:val="0"/>
          <w:color w:val="auto"/>
          <w:sz w:val="32"/>
          <w:szCs w:val="32"/>
          <w:highlight w:val="none"/>
          <w:lang w:eastAsia="zh-CN" w:bidi="ar"/>
        </w:rPr>
        <w:t>，</w:t>
      </w:r>
      <w:r>
        <w:rPr>
          <w:rFonts w:hint="eastAsia" w:ascii="Times New Roman" w:hAnsi="Times New Roman" w:eastAsia="方正仿宋_GBK" w:cs="Times New Roman"/>
          <w:b w:val="0"/>
          <w:bCs w:val="0"/>
          <w:color w:val="auto"/>
          <w:sz w:val="32"/>
          <w:szCs w:val="32"/>
          <w:highlight w:val="none"/>
          <w:lang w:bidi="ar"/>
        </w:rPr>
        <w:t>信息披露主体按照标准数据格式在信息披露平台披露信息，披露的信息保留或可供查询的时间不少于2年</w:t>
      </w:r>
      <w:r>
        <w:rPr>
          <w:rFonts w:hint="eastAsia" w:ascii="Times New Roman" w:hAnsi="Times New Roman" w:eastAsia="方正仿宋_GBK" w:cs="Times New Roman"/>
          <w:b w:val="0"/>
          <w:bCs w:val="0"/>
          <w:color w:val="auto"/>
          <w:sz w:val="32"/>
          <w:szCs w:val="32"/>
          <w:highlight w:val="none"/>
          <w:lang w:eastAsia="zh-CN" w:bidi="ar"/>
        </w:rPr>
        <w:t>，</w:t>
      </w:r>
      <w:r>
        <w:rPr>
          <w:rFonts w:hint="eastAsia" w:ascii="Times New Roman" w:hAnsi="Times New Roman" w:eastAsia="方正仿宋_GBK" w:cs="Times New Roman"/>
          <w:b w:val="0"/>
          <w:bCs w:val="0"/>
          <w:color w:val="auto"/>
          <w:sz w:val="32"/>
          <w:szCs w:val="32"/>
          <w:highlight w:val="none"/>
          <w:lang w:bidi="ar"/>
        </w:rPr>
        <w:t>且封存期限为5年。</w:t>
      </w:r>
    </w:p>
    <w:p w14:paraId="30072C04">
      <w:pPr>
        <w:numPr>
          <w:ilvl w:val="0"/>
          <w:numId w:val="4"/>
        </w:numPr>
        <w:adjustRightInd w:val="0"/>
        <w:snapToGrid w:val="0"/>
        <w:spacing w:line="588" w:lineRule="exact"/>
        <w:ind w:left="-11" w:firstLine="641" w:firstLineChars="0"/>
        <w:jc w:val="both"/>
        <w:rPr>
          <w:rFonts w:hint="eastAsia" w:ascii="Times New Roman" w:hAnsi="Times New Roman" w:eastAsia="方正仿宋_GBK" w:cs="Times New Roman"/>
          <w:b w:val="0"/>
          <w:bCs w:val="0"/>
          <w:i w:val="0"/>
          <w:iCs w:val="0"/>
          <w:caps w:val="0"/>
          <w:color w:val="auto"/>
          <w:spacing w:val="0"/>
          <w:sz w:val="32"/>
          <w:szCs w:val="32"/>
          <w:highlight w:val="none"/>
          <w:lang w:bidi="ar"/>
        </w:rPr>
      </w:pPr>
      <w:r>
        <w:rPr>
          <w:rFonts w:hint="eastAsia" w:ascii="Times New Roman" w:hAnsi="Times New Roman" w:eastAsia="方正仿宋_GBK" w:cs="Times New Roman"/>
          <w:b w:val="0"/>
          <w:bCs w:val="0"/>
          <w:i w:val="0"/>
          <w:iCs w:val="0"/>
          <w:caps w:val="0"/>
          <w:color w:val="auto"/>
          <w:spacing w:val="0"/>
          <w:sz w:val="32"/>
          <w:szCs w:val="32"/>
          <w:highlight w:val="none"/>
          <w:lang w:bidi="ar"/>
        </w:rPr>
        <w:t>市场成员对披露的信息内容、时限等有异议或者疑问，可向电力交易机构提出，电力交易机构根据</w:t>
      </w:r>
      <w:r>
        <w:rPr>
          <w:rFonts w:hint="eastAsia" w:ascii="Times New Roman" w:hAnsi="Times New Roman" w:eastAsia="方正仿宋_GBK" w:cs="Times New Roman"/>
          <w:b w:val="0"/>
          <w:bCs w:val="0"/>
          <w:i w:val="0"/>
          <w:iCs w:val="0"/>
          <w:caps w:val="0"/>
          <w:color w:val="auto"/>
          <w:spacing w:val="0"/>
          <w:sz w:val="32"/>
          <w:szCs w:val="32"/>
          <w:highlight w:val="none"/>
          <w:lang w:eastAsia="zh-CN" w:bidi="ar"/>
        </w:rPr>
        <w:t>《</w:t>
      </w:r>
      <w:r>
        <w:rPr>
          <w:rFonts w:hint="eastAsia" w:ascii="Times New Roman" w:hAnsi="Times New Roman" w:eastAsia="方正仿宋_GBK" w:cs="Times New Roman"/>
          <w:b w:val="0"/>
          <w:bCs w:val="0"/>
          <w:i w:val="0"/>
          <w:iCs w:val="0"/>
          <w:caps w:val="0"/>
          <w:color w:val="auto"/>
          <w:spacing w:val="0"/>
          <w:sz w:val="32"/>
          <w:szCs w:val="32"/>
          <w:highlight w:val="none"/>
          <w:lang w:bidi="ar"/>
        </w:rPr>
        <w:t>电力市场信息披露基本规则</w:t>
      </w:r>
      <w:r>
        <w:rPr>
          <w:rFonts w:hint="eastAsia" w:ascii="Times New Roman" w:hAnsi="Times New Roman" w:eastAsia="方正仿宋_GBK" w:cs="Times New Roman"/>
          <w:b w:val="0"/>
          <w:bCs w:val="0"/>
          <w:i w:val="0"/>
          <w:iCs w:val="0"/>
          <w:caps w:val="0"/>
          <w:color w:val="auto"/>
          <w:spacing w:val="0"/>
          <w:sz w:val="32"/>
          <w:szCs w:val="32"/>
          <w:highlight w:val="none"/>
          <w:lang w:eastAsia="zh-CN" w:bidi="ar"/>
        </w:rPr>
        <w:t>》</w:t>
      </w:r>
      <w:r>
        <w:rPr>
          <w:rFonts w:hint="eastAsia" w:ascii="Times New Roman" w:hAnsi="Times New Roman" w:eastAsia="方正仿宋_GBK" w:cs="Times New Roman"/>
          <w:b w:val="0"/>
          <w:bCs w:val="0"/>
          <w:i w:val="0"/>
          <w:iCs w:val="0"/>
          <w:caps w:val="0"/>
          <w:strike w:val="0"/>
          <w:color w:val="auto"/>
          <w:spacing w:val="0"/>
          <w:sz w:val="32"/>
          <w:szCs w:val="32"/>
          <w:highlight w:val="none"/>
          <w:lang w:eastAsia="zh-CN" w:bidi="ar"/>
        </w:rPr>
        <w:t>及信息披露相关</w:t>
      </w:r>
      <w:r>
        <w:rPr>
          <w:rFonts w:hint="eastAsia" w:ascii="Times New Roman" w:hAnsi="Times New Roman" w:eastAsia="方正仿宋_GBK" w:cs="Times New Roman"/>
          <w:b w:val="0"/>
          <w:bCs w:val="0"/>
          <w:i w:val="0"/>
          <w:iCs w:val="0"/>
          <w:caps w:val="0"/>
          <w:strike w:val="0"/>
          <w:color w:val="auto"/>
          <w:spacing w:val="0"/>
          <w:sz w:val="32"/>
          <w:szCs w:val="32"/>
          <w:highlight w:val="none"/>
          <w:lang w:val="en-US" w:eastAsia="zh-CN" w:bidi="ar"/>
        </w:rPr>
        <w:t>规定</w:t>
      </w:r>
      <w:r>
        <w:rPr>
          <w:rFonts w:hint="eastAsia" w:ascii="Times New Roman" w:hAnsi="Times New Roman" w:eastAsia="方正仿宋_GBK" w:cs="Times New Roman"/>
          <w:b w:val="0"/>
          <w:bCs w:val="0"/>
          <w:i w:val="0"/>
          <w:iCs w:val="0"/>
          <w:caps w:val="0"/>
          <w:color w:val="auto"/>
          <w:spacing w:val="0"/>
          <w:sz w:val="32"/>
          <w:szCs w:val="32"/>
          <w:highlight w:val="none"/>
          <w:lang w:eastAsia="zh-CN" w:bidi="ar"/>
        </w:rPr>
        <w:t>，</w:t>
      </w:r>
      <w:r>
        <w:rPr>
          <w:rFonts w:hint="eastAsia" w:ascii="Times New Roman" w:hAnsi="Times New Roman" w:eastAsia="方正仿宋_GBK" w:cs="Times New Roman"/>
          <w:b w:val="0"/>
          <w:bCs w:val="0"/>
          <w:i w:val="0"/>
          <w:iCs w:val="0"/>
          <w:caps w:val="0"/>
          <w:color w:val="auto"/>
          <w:spacing w:val="0"/>
          <w:sz w:val="32"/>
          <w:szCs w:val="32"/>
          <w:highlight w:val="none"/>
          <w:lang w:bidi="ar"/>
        </w:rPr>
        <w:t>要求相关信息披露主体予以解释及配合。</w:t>
      </w:r>
    </w:p>
    <w:p w14:paraId="03B1B1ED">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CN"/>
        </w:rPr>
      </w:pPr>
      <w:bookmarkStart w:id="238" w:name="_Toc1977945014"/>
      <w:bookmarkStart w:id="239" w:name="_Toc116018668"/>
      <w:bookmarkStart w:id="240" w:name="_Toc1526876878"/>
      <w:bookmarkStart w:id="241" w:name="_Toc11309"/>
      <w:r>
        <w:rPr>
          <w:rFonts w:hint="eastAsia" w:ascii="Times New Roman" w:hAnsi="Times New Roman" w:eastAsia="黑体" w:cs="Times New Roman"/>
          <w:b w:val="0"/>
          <w:bCs w:val="0"/>
          <w:color w:val="auto"/>
          <w:sz w:val="32"/>
          <w:szCs w:val="32"/>
          <w:highlight w:val="none"/>
          <w:lang w:eastAsia="zh"/>
        </w:rPr>
        <w:t>第十章 市场技术支持系统</w:t>
      </w:r>
      <w:bookmarkEnd w:id="238"/>
      <w:bookmarkEnd w:id="239"/>
      <w:bookmarkEnd w:id="240"/>
      <w:bookmarkEnd w:id="241"/>
    </w:p>
    <w:p w14:paraId="659907CE">
      <w:pPr>
        <w:pageBreakBefore w:val="0"/>
        <w:numPr>
          <w:ilvl w:val="0"/>
          <w:numId w:val="4"/>
        </w:numPr>
        <w:kinsoku/>
        <w:wordWrap/>
        <w:overflowPunct/>
        <w:topLinePunct w:val="0"/>
        <w:autoSpaceDN/>
        <w:bidi w:val="0"/>
        <w:adjustRightInd w:val="0"/>
        <w:snapToGrid w:val="0"/>
        <w:spacing w:line="588" w:lineRule="exact"/>
        <w:ind w:left="-10" w:firstLine="640" w:firstLineChars="0"/>
        <w:rPr>
          <w:rFonts w:hint="default" w:ascii="方正仿宋_GBK" w:hAnsi="方正仿宋_GBK" w:eastAsia="方正仿宋_GBK" w:cs="方正仿宋_GBK"/>
          <w:b w:val="0"/>
          <w:bCs w:val="0"/>
          <w:color w:val="auto"/>
          <w:kern w:val="2"/>
          <w:sz w:val="32"/>
          <w:szCs w:val="32"/>
          <w:highlight w:val="none"/>
          <w:lang w:val="en-US" w:eastAsia="zh-CN" w:bidi="ar"/>
        </w:rPr>
      </w:pPr>
      <w:r>
        <w:rPr>
          <w:rFonts w:hint="eastAsia" w:ascii="方正仿宋_GBK" w:hAnsi="方正仿宋_GBK" w:eastAsia="方正仿宋_GBK" w:cs="方正仿宋_GBK"/>
          <w:b w:val="0"/>
          <w:bCs w:val="0"/>
          <w:color w:val="auto"/>
          <w:kern w:val="2"/>
          <w:sz w:val="32"/>
          <w:szCs w:val="32"/>
          <w:highlight w:val="none"/>
          <w:lang w:val="en-US" w:eastAsia="zh-CN" w:bidi="ar"/>
        </w:rPr>
        <w:t>电力交易平台</w:t>
      </w:r>
      <w:r>
        <w:rPr>
          <w:rFonts w:hint="eastAsia" w:ascii="方正仿宋_GBK" w:hAnsi="方正仿宋_GBK" w:eastAsia="方正仿宋_GBK" w:cs="方正仿宋_GBK"/>
          <w:b w:val="0"/>
          <w:bCs w:val="0"/>
          <w:color w:val="auto"/>
          <w:kern w:val="2"/>
          <w:sz w:val="32"/>
          <w:szCs w:val="32"/>
          <w:highlight w:val="none"/>
          <w:lang w:val="en-US" w:eastAsia="zh" w:bidi="ar"/>
        </w:rPr>
        <w:t>应</w:t>
      </w:r>
      <w:r>
        <w:rPr>
          <w:rFonts w:hint="eastAsia" w:ascii="方正仿宋_GBK" w:hAnsi="方正仿宋_GBK" w:eastAsia="方正仿宋_GBK" w:cs="方正仿宋_GBK"/>
          <w:b w:val="0"/>
          <w:bCs w:val="0"/>
          <w:color w:val="auto"/>
          <w:kern w:val="2"/>
          <w:sz w:val="32"/>
          <w:szCs w:val="32"/>
          <w:highlight w:val="none"/>
          <w:lang w:val="en-US" w:eastAsia="zh-CN" w:bidi="ar"/>
        </w:rPr>
        <w:t>实现</w:t>
      </w:r>
      <w:r>
        <w:rPr>
          <w:rFonts w:hint="eastAsia" w:ascii="方正仿宋_GBK" w:hAnsi="方正仿宋_GBK" w:eastAsia="方正仿宋_GBK" w:cs="方正仿宋_GBK"/>
          <w:b w:val="0"/>
          <w:bCs w:val="0"/>
          <w:color w:val="auto"/>
          <w:kern w:val="2"/>
          <w:sz w:val="32"/>
          <w:szCs w:val="32"/>
          <w:highlight w:val="none"/>
          <w:lang w:val="en-US" w:eastAsia="zh" w:bidi="ar"/>
        </w:rPr>
        <w:t>统一平台架构、统一技术标准、统一核心功能、统一交互规范，支撑全国统一电力市场</w:t>
      </w:r>
      <w:r>
        <w:rPr>
          <w:rFonts w:hint="eastAsia" w:ascii="方正仿宋_GBK" w:hAnsi="方正仿宋_GBK" w:eastAsia="方正仿宋_GBK" w:cs="方正仿宋_GBK"/>
          <w:b w:val="0"/>
          <w:bCs w:val="0"/>
          <w:color w:val="auto"/>
          <w:kern w:val="2"/>
          <w:sz w:val="32"/>
          <w:szCs w:val="32"/>
          <w:highlight w:val="none"/>
          <w:lang w:val="en-US" w:eastAsia="zh-CN" w:bidi="ar"/>
        </w:rPr>
        <w:t>数据信息</w:t>
      </w:r>
      <w:r>
        <w:rPr>
          <w:rFonts w:hint="eastAsia" w:ascii="方正仿宋_GBK" w:hAnsi="方正仿宋_GBK" w:eastAsia="方正仿宋_GBK" w:cs="方正仿宋_GBK"/>
          <w:b w:val="0"/>
          <w:bCs w:val="0"/>
          <w:color w:val="auto"/>
          <w:kern w:val="2"/>
          <w:sz w:val="32"/>
          <w:szCs w:val="32"/>
          <w:highlight w:val="none"/>
          <w:lang w:val="en-US" w:eastAsia="zh" w:bidi="ar"/>
        </w:rPr>
        <w:t>纵向贯通、横向互联。</w:t>
      </w:r>
    </w:p>
    <w:p w14:paraId="5620A06E">
      <w:pPr>
        <w:pageBreakBefore w:val="0"/>
        <w:numPr>
          <w:ilvl w:val="0"/>
          <w:numId w:val="4"/>
        </w:numPr>
        <w:kinsoku/>
        <w:wordWrap/>
        <w:overflowPunct/>
        <w:topLinePunct w:val="0"/>
        <w:autoSpaceDN/>
        <w:bidi w:val="0"/>
        <w:adjustRightInd w:val="0"/>
        <w:snapToGrid w:val="0"/>
        <w:spacing w:line="588" w:lineRule="exact"/>
        <w:ind w:left="-10" w:firstLine="640" w:firstLineChars="0"/>
        <w:rPr>
          <w:rFonts w:hint="eastAsia" w:ascii="方正仿宋_GBK" w:hAnsi="方正仿宋_GBK" w:eastAsia="方正仿宋_GBK" w:cs="方正仿宋_GBK"/>
          <w:b w:val="0"/>
          <w:bCs w:val="0"/>
          <w:color w:val="auto"/>
          <w:sz w:val="32"/>
          <w:szCs w:val="32"/>
          <w:highlight w:val="none"/>
          <w:lang w:bidi="ar"/>
        </w:rPr>
      </w:pPr>
      <w:r>
        <w:rPr>
          <w:rFonts w:hint="eastAsia" w:ascii="方正仿宋_GBK" w:hAnsi="方正仿宋_GBK" w:eastAsia="方正仿宋_GBK" w:cs="方正仿宋_GBK"/>
          <w:b w:val="0"/>
          <w:bCs w:val="0"/>
          <w:color w:val="auto"/>
          <w:kern w:val="2"/>
          <w:sz w:val="32"/>
          <w:szCs w:val="32"/>
          <w:highlight w:val="none"/>
          <w:lang w:val="en-US" w:eastAsia="zh-CN" w:bidi="ar"/>
        </w:rPr>
        <w:t>电力交易平台</w:t>
      </w:r>
      <w:r>
        <w:rPr>
          <w:rFonts w:hint="eastAsia" w:ascii="方正仿宋_GBK" w:hAnsi="方正仿宋_GBK" w:eastAsia="方正仿宋_GBK" w:cs="方正仿宋_GBK"/>
          <w:b w:val="0"/>
          <w:bCs w:val="0"/>
          <w:color w:val="auto"/>
          <w:kern w:val="2"/>
          <w:sz w:val="32"/>
          <w:szCs w:val="32"/>
          <w:highlight w:val="none"/>
          <w:lang w:val="en-US" w:eastAsia="zh-CN"/>
        </w:rPr>
        <w:t>应具备基础运行保障能力，</w:t>
      </w:r>
      <w:r>
        <w:rPr>
          <w:rFonts w:hint="eastAsia" w:ascii="方正仿宋_GBK" w:hAnsi="方正仿宋_GBK" w:eastAsia="方正仿宋_GBK" w:cs="方正仿宋_GBK"/>
          <w:b w:val="0"/>
          <w:bCs w:val="0"/>
          <w:color w:val="auto"/>
          <w:sz w:val="32"/>
          <w:szCs w:val="32"/>
          <w:highlight w:val="none"/>
          <w:lang w:val="en-US" w:eastAsia="zh-CN" w:bidi="ar"/>
        </w:rPr>
        <w:t>遵循</w:t>
      </w:r>
      <w:r>
        <w:rPr>
          <w:rFonts w:hint="eastAsia" w:ascii="方正仿宋_GBK" w:hAnsi="方正仿宋_GBK" w:eastAsia="方正仿宋_GBK" w:cs="方正仿宋_GBK"/>
          <w:b w:val="0"/>
          <w:bCs w:val="0"/>
          <w:color w:val="auto"/>
          <w:sz w:val="32"/>
          <w:szCs w:val="32"/>
          <w:highlight w:val="none"/>
          <w:lang w:bidi="ar"/>
        </w:rPr>
        <w:t>电力交易机构</w:t>
      </w:r>
      <w:r>
        <w:rPr>
          <w:rFonts w:hint="eastAsia" w:ascii="方正仿宋_GBK" w:hAnsi="方正仿宋_GBK" w:eastAsia="方正仿宋_GBK" w:cs="方正仿宋_GBK"/>
          <w:b w:val="0"/>
          <w:bCs w:val="0"/>
          <w:color w:val="auto"/>
          <w:sz w:val="32"/>
          <w:szCs w:val="32"/>
          <w:highlight w:val="none"/>
          <w:lang w:val="en-US" w:eastAsia="zh-CN" w:bidi="ar"/>
        </w:rPr>
        <w:t>制定的全国统一的数据</w:t>
      </w:r>
      <w:r>
        <w:rPr>
          <w:rFonts w:hint="eastAsia" w:ascii="方正仿宋_GBK" w:hAnsi="方正仿宋_GBK" w:eastAsia="方正仿宋_GBK" w:cs="方正仿宋_GBK"/>
          <w:b w:val="0"/>
          <w:bCs w:val="0"/>
          <w:color w:val="auto"/>
          <w:kern w:val="0"/>
          <w:sz w:val="32"/>
          <w:szCs w:val="32"/>
          <w:highlight w:val="none"/>
          <w:lang w:val="en-US" w:eastAsia="zh-CN" w:bidi="ar"/>
        </w:rPr>
        <w:t>接口</w:t>
      </w:r>
      <w:r>
        <w:rPr>
          <w:rFonts w:hint="eastAsia" w:ascii="方正仿宋_GBK" w:hAnsi="方正仿宋_GBK" w:eastAsia="方正仿宋_GBK" w:cs="方正仿宋_GBK"/>
          <w:b w:val="0"/>
          <w:bCs w:val="0"/>
          <w:color w:val="auto"/>
          <w:sz w:val="32"/>
          <w:szCs w:val="32"/>
          <w:highlight w:val="none"/>
          <w:lang w:val="en-US" w:eastAsia="zh-CN" w:bidi="ar"/>
        </w:rPr>
        <w:t>标准，在保障信息安全的前提下为市场相关方提供</w:t>
      </w:r>
      <w:r>
        <w:rPr>
          <w:rFonts w:ascii="方正仿宋_GBK" w:hAnsi="方正仿宋_GBK" w:eastAsia="方正仿宋_GBK" w:cs="方正仿宋_GBK"/>
          <w:b w:val="0"/>
          <w:bCs w:val="0"/>
          <w:color w:val="auto"/>
          <w:sz w:val="32"/>
          <w:szCs w:val="32"/>
          <w:highlight w:val="none"/>
          <w:lang w:bidi="ar"/>
        </w:rPr>
        <w:t>数据</w:t>
      </w:r>
      <w:r>
        <w:rPr>
          <w:rFonts w:hint="eastAsia" w:ascii="方正仿宋_GBK" w:hAnsi="方正仿宋_GBK" w:eastAsia="方正仿宋_GBK" w:cs="方正仿宋_GBK"/>
          <w:b w:val="0"/>
          <w:bCs w:val="0"/>
          <w:color w:val="auto"/>
          <w:sz w:val="32"/>
          <w:szCs w:val="32"/>
          <w:highlight w:val="none"/>
          <w:lang w:val="en-US" w:eastAsia="zh-CN" w:bidi="ar"/>
        </w:rPr>
        <w:t>交互服务</w:t>
      </w:r>
      <w:r>
        <w:rPr>
          <w:rFonts w:hint="eastAsia" w:ascii="方正仿宋_GBK" w:hAnsi="方正仿宋_GBK" w:eastAsia="方正仿宋_GBK" w:cs="方正仿宋_GBK"/>
          <w:b w:val="0"/>
          <w:bCs w:val="0"/>
          <w:color w:val="auto"/>
          <w:sz w:val="32"/>
          <w:szCs w:val="32"/>
          <w:highlight w:val="none"/>
          <w:lang w:bidi="ar"/>
        </w:rPr>
        <w:t>。</w:t>
      </w:r>
      <w:r>
        <w:rPr>
          <w:rFonts w:hint="eastAsia" w:ascii="方正仿宋_GBK" w:hAnsi="方正仿宋_GBK" w:eastAsia="方正仿宋_GBK" w:cs="方正仿宋_GBK"/>
          <w:b w:val="0"/>
          <w:bCs w:val="0"/>
          <w:color w:val="auto"/>
          <w:sz w:val="32"/>
          <w:szCs w:val="32"/>
          <w:highlight w:val="none"/>
          <w:lang w:val="en-US" w:eastAsia="zh-CN" w:bidi="ar"/>
        </w:rPr>
        <w:t>电力交易平台应满足电力中长期连续运营要求，</w:t>
      </w:r>
      <w:r>
        <w:rPr>
          <w:rFonts w:hint="eastAsia" w:ascii="方正仿宋_GBK" w:hAnsi="方正仿宋_GBK" w:eastAsia="方正仿宋_GBK" w:cs="方正仿宋_GBK"/>
          <w:b w:val="0"/>
          <w:bCs w:val="0"/>
          <w:color w:val="auto"/>
          <w:sz w:val="32"/>
          <w:szCs w:val="32"/>
          <w:highlight w:val="none"/>
          <w:lang w:bidi="ar"/>
        </w:rPr>
        <w:t>软硬件模块应采取冗余配置，建立备用系统或并列双活运行系统</w:t>
      </w:r>
      <w:r>
        <w:rPr>
          <w:rFonts w:hint="eastAsia" w:ascii="方正仿宋_GBK" w:hAnsi="方正仿宋_GBK" w:eastAsia="方正仿宋_GBK" w:cs="方正仿宋_GBK"/>
          <w:b w:val="0"/>
          <w:bCs w:val="0"/>
          <w:color w:val="auto"/>
          <w:sz w:val="32"/>
          <w:szCs w:val="32"/>
          <w:highlight w:val="none"/>
          <w:lang w:eastAsia="zh-CN" w:bidi="ar"/>
        </w:rPr>
        <w:t>。</w:t>
      </w:r>
    </w:p>
    <w:p w14:paraId="0566463E">
      <w:pPr>
        <w:pageBreakBefore w:val="0"/>
        <w:numPr>
          <w:ilvl w:val="0"/>
          <w:numId w:val="4"/>
        </w:numPr>
        <w:kinsoku/>
        <w:wordWrap/>
        <w:overflowPunct/>
        <w:topLinePunct w:val="0"/>
        <w:autoSpaceDN/>
        <w:bidi w:val="0"/>
        <w:adjustRightInd w:val="0"/>
        <w:snapToGrid w:val="0"/>
        <w:spacing w:line="588" w:lineRule="exact"/>
        <w:ind w:left="-10" w:firstLine="640" w:firstLineChars="0"/>
        <w:rPr>
          <w:rFonts w:hint="eastAsia" w:ascii="方正仿宋_GBK" w:hAnsi="方正仿宋_GBK" w:eastAsia="方正仿宋_GBK" w:cs="方正仿宋_GBK"/>
          <w:b w:val="0"/>
          <w:bCs w:val="0"/>
          <w:color w:val="auto"/>
          <w:sz w:val="32"/>
          <w:szCs w:val="32"/>
          <w:highlight w:val="none"/>
          <w:lang w:bidi="ar"/>
        </w:rPr>
      </w:pPr>
      <w:r>
        <w:rPr>
          <w:rFonts w:hint="eastAsia" w:ascii="方正仿宋_GBK" w:hAnsi="方正仿宋_GBK" w:eastAsia="方正仿宋_GBK" w:cs="方正仿宋_GBK"/>
          <w:b w:val="0"/>
          <w:bCs w:val="0"/>
          <w:color w:val="auto"/>
          <w:sz w:val="32"/>
          <w:szCs w:val="32"/>
          <w:highlight w:val="none"/>
          <w:lang w:val="en-US" w:eastAsia="zh-CN" w:bidi="ar"/>
        </w:rPr>
        <w:t>电力交易平台应具备用户账号“一地注册、全国共享”的功能，实现各交易平台注册账号的互认。</w:t>
      </w:r>
    </w:p>
    <w:p w14:paraId="360BE8C3">
      <w:pPr>
        <w:pageBreakBefore w:val="0"/>
        <w:numPr>
          <w:ilvl w:val="0"/>
          <w:numId w:val="4"/>
        </w:numPr>
        <w:kinsoku/>
        <w:wordWrap/>
        <w:overflowPunct/>
        <w:topLinePunct w:val="0"/>
        <w:autoSpaceDN/>
        <w:bidi w:val="0"/>
        <w:adjustRightInd w:val="0"/>
        <w:snapToGrid w:val="0"/>
        <w:spacing w:line="588" w:lineRule="exact"/>
        <w:ind w:left="-10" w:firstLine="640" w:firstLineChars="0"/>
        <w:rPr>
          <w:rFonts w:hint="eastAsia" w:ascii="方正仿宋_GBK" w:hAnsi="方正仿宋_GBK" w:eastAsia="方正仿宋_GBK" w:cs="方正仿宋_GBK"/>
          <w:b w:val="0"/>
          <w:bCs w:val="0"/>
          <w:color w:val="auto"/>
          <w:kern w:val="2"/>
          <w:sz w:val="32"/>
          <w:szCs w:val="32"/>
          <w:highlight w:val="none"/>
          <w:lang w:val="en-US" w:eastAsia="zh-CN" w:bidi="ar"/>
        </w:rPr>
      </w:pPr>
      <w:r>
        <w:rPr>
          <w:rFonts w:hint="eastAsia" w:ascii="方正仿宋_GBK" w:hAnsi="方正仿宋_GBK" w:eastAsia="方正仿宋_GBK" w:cs="方正仿宋_GBK"/>
          <w:b w:val="0"/>
          <w:bCs w:val="0"/>
          <w:color w:val="auto"/>
          <w:kern w:val="2"/>
          <w:sz w:val="32"/>
          <w:szCs w:val="32"/>
          <w:highlight w:val="none"/>
          <w:lang w:val="en-US" w:eastAsia="zh-CN" w:bidi="ar"/>
        </w:rPr>
        <w:t>电力交易平台应具备对经营主体的异常行为进行监控与处置的能力。</w:t>
      </w:r>
    </w:p>
    <w:p w14:paraId="0BBBB828">
      <w:pPr>
        <w:pageBreakBefore w:val="0"/>
        <w:numPr>
          <w:ilvl w:val="0"/>
          <w:numId w:val="4"/>
        </w:numPr>
        <w:kinsoku/>
        <w:wordWrap/>
        <w:overflowPunct/>
        <w:topLinePunct w:val="0"/>
        <w:autoSpaceDN/>
        <w:bidi w:val="0"/>
        <w:adjustRightInd w:val="0"/>
        <w:snapToGrid w:val="0"/>
        <w:spacing w:line="588" w:lineRule="exact"/>
        <w:ind w:left="-10" w:firstLine="640" w:firstLineChars="0"/>
        <w:rPr>
          <w:rFonts w:hint="eastAsia" w:ascii="方正仿宋_GBK" w:hAnsi="方正仿宋_GBK" w:eastAsia="方正仿宋_GBK" w:cs="方正仿宋_GBK"/>
          <w:b w:val="0"/>
          <w:bCs w:val="0"/>
          <w:color w:val="auto"/>
          <w:kern w:val="2"/>
          <w:sz w:val="32"/>
          <w:szCs w:val="32"/>
          <w:highlight w:val="none"/>
          <w:lang w:val="en-US" w:eastAsia="zh-CN" w:bidi="ar"/>
        </w:rPr>
      </w:pPr>
      <w:r>
        <w:rPr>
          <w:rFonts w:hint="eastAsia" w:ascii="方正仿宋_GBK" w:hAnsi="方正仿宋_GBK" w:eastAsia="方正仿宋_GBK" w:cs="方正仿宋_GBK"/>
          <w:b w:val="0"/>
          <w:bCs w:val="0"/>
          <w:color w:val="auto"/>
          <w:kern w:val="2"/>
          <w:sz w:val="32"/>
          <w:szCs w:val="32"/>
          <w:highlight w:val="none"/>
          <w:lang w:val="en-US" w:eastAsia="zh-CN" w:bidi="ar"/>
        </w:rPr>
        <w:t>不可抗力因素引起的技术支持系统异常导致的损失，各方无需承担责任。</w:t>
      </w:r>
    </w:p>
    <w:p w14:paraId="02404FF9">
      <w:pPr>
        <w:pStyle w:val="3"/>
        <w:adjustRightInd w:val="0"/>
        <w:snapToGrid w:val="0"/>
        <w:spacing w:line="588" w:lineRule="exact"/>
        <w:ind w:firstLineChars="0"/>
        <w:jc w:val="center"/>
        <w:rPr>
          <w:rFonts w:hint="default" w:ascii="Times New Roman" w:hAnsi="Times New Roman" w:eastAsia="黑体" w:cs="Times New Roman"/>
          <w:b w:val="0"/>
          <w:bCs w:val="0"/>
          <w:color w:val="auto"/>
          <w:sz w:val="32"/>
          <w:szCs w:val="32"/>
          <w:highlight w:val="none"/>
          <w:lang w:val="en-US" w:eastAsia="zh"/>
        </w:rPr>
      </w:pPr>
      <w:bookmarkStart w:id="242" w:name="_Toc1741"/>
      <w:bookmarkStart w:id="243" w:name="_Toc2081327868"/>
      <w:bookmarkStart w:id="244" w:name="_Toc882792688"/>
      <w:bookmarkStart w:id="245" w:name="_Toc657546766"/>
      <w:r>
        <w:rPr>
          <w:rFonts w:hint="eastAsia" w:ascii="Times New Roman" w:hAnsi="Times New Roman" w:eastAsia="黑体" w:cs="Times New Roman"/>
          <w:b w:val="0"/>
          <w:bCs w:val="0"/>
          <w:color w:val="auto"/>
          <w:sz w:val="32"/>
          <w:szCs w:val="32"/>
          <w:highlight w:val="none"/>
          <w:lang w:val="en-US" w:eastAsia="zh-CN"/>
        </w:rPr>
        <w:t>第十</w:t>
      </w:r>
      <w:r>
        <w:rPr>
          <w:rFonts w:hint="eastAsia" w:ascii="Times New Roman" w:hAnsi="Times New Roman" w:eastAsia="黑体" w:cs="Times New Roman"/>
          <w:b w:val="0"/>
          <w:bCs w:val="0"/>
          <w:color w:val="auto"/>
          <w:sz w:val="32"/>
          <w:szCs w:val="32"/>
          <w:highlight w:val="none"/>
          <w:lang w:val="en-US" w:eastAsia="zh-CN"/>
        </w:rPr>
        <w:t>一</w:t>
      </w:r>
      <w:r>
        <w:rPr>
          <w:rFonts w:hint="eastAsia" w:ascii="Times New Roman" w:hAnsi="Times New Roman" w:eastAsia="黑体" w:cs="Times New Roman"/>
          <w:b w:val="0"/>
          <w:bCs w:val="0"/>
          <w:color w:val="auto"/>
          <w:sz w:val="32"/>
          <w:szCs w:val="32"/>
          <w:highlight w:val="none"/>
          <w:lang w:val="en-US" w:eastAsia="zh-CN"/>
        </w:rPr>
        <w:t xml:space="preserve">章 </w:t>
      </w:r>
      <w:bookmarkStart w:id="246" w:name="_Toc24632"/>
      <w:bookmarkStart w:id="247" w:name="_Toc15934"/>
      <w:bookmarkStart w:id="248" w:name="_Toc16326"/>
      <w:r>
        <w:rPr>
          <w:rFonts w:hint="eastAsia" w:ascii="Times New Roman" w:hAnsi="Times New Roman" w:eastAsia="黑体" w:cs="Times New Roman"/>
          <w:b w:val="0"/>
          <w:bCs w:val="0"/>
          <w:color w:val="auto"/>
          <w:sz w:val="32"/>
          <w:szCs w:val="32"/>
          <w:highlight w:val="none"/>
          <w:lang w:eastAsia="zh"/>
        </w:rPr>
        <w:t>风险防控</w:t>
      </w:r>
      <w:bookmarkEnd w:id="231"/>
      <w:bookmarkEnd w:id="232"/>
      <w:bookmarkEnd w:id="233"/>
      <w:bookmarkEnd w:id="234"/>
      <w:bookmarkEnd w:id="235"/>
      <w:bookmarkEnd w:id="236"/>
      <w:bookmarkEnd w:id="237"/>
      <w:bookmarkEnd w:id="246"/>
      <w:bookmarkEnd w:id="247"/>
      <w:bookmarkEnd w:id="248"/>
      <w:r>
        <w:rPr>
          <w:rFonts w:hint="eastAsia" w:ascii="Times New Roman" w:hAnsi="Times New Roman" w:eastAsia="黑体" w:cs="Times New Roman"/>
          <w:b w:val="0"/>
          <w:bCs w:val="0"/>
          <w:color w:val="auto"/>
          <w:sz w:val="32"/>
          <w:szCs w:val="32"/>
          <w:highlight w:val="none"/>
          <w:lang w:val="en-US" w:eastAsia="zh-CN"/>
        </w:rPr>
        <w:t>及争议处理</w:t>
      </w:r>
      <w:bookmarkEnd w:id="242"/>
      <w:bookmarkEnd w:id="243"/>
      <w:bookmarkEnd w:id="244"/>
      <w:bookmarkEnd w:id="245"/>
    </w:p>
    <w:p w14:paraId="424C46EE">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建立健全电力市场风险防控机制</w:t>
      </w:r>
      <w:r>
        <w:rPr>
          <w:rFonts w:hint="eastAsia" w:ascii="Times New Roman" w:hAnsi="Times New Roman" w:eastAsia="方正仿宋_GBK" w:cs="Times New Roman"/>
          <w:b w:val="0"/>
          <w:bCs w:val="0"/>
          <w:color w:val="auto"/>
          <w:sz w:val="32"/>
          <w:szCs w:val="32"/>
          <w:highlight w:val="none"/>
        </w:rPr>
        <w:t>，</w:t>
      </w:r>
      <w:r>
        <w:rPr>
          <w:rFonts w:hint="eastAsia" w:ascii="Times New Roman" w:hAnsi="Times New Roman" w:eastAsia="方正仿宋_GBK" w:cs="Times New Roman"/>
          <w:b w:val="0"/>
          <w:bCs w:val="0"/>
          <w:color w:val="auto"/>
          <w:sz w:val="32"/>
          <w:szCs w:val="32"/>
          <w:highlight w:val="none"/>
          <w:lang w:eastAsia="zh"/>
        </w:rPr>
        <w:t>推动构建事前预警</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eastAsia" w:ascii="Times New Roman" w:hAnsi="Times New Roman" w:eastAsia="方正仿宋_GBK" w:cs="Times New Roman"/>
          <w:b w:val="0"/>
          <w:bCs w:val="0"/>
          <w:color w:val="auto"/>
          <w:sz w:val="32"/>
          <w:szCs w:val="32"/>
          <w:highlight w:val="none"/>
          <w:lang w:eastAsia="zh"/>
        </w:rPr>
        <w:t>事中防范</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eastAsia" w:ascii="Times New Roman" w:hAnsi="Times New Roman" w:eastAsia="方正仿宋_GBK" w:cs="Times New Roman"/>
          <w:b w:val="0"/>
          <w:bCs w:val="0"/>
          <w:color w:val="auto"/>
          <w:sz w:val="32"/>
          <w:szCs w:val="32"/>
          <w:highlight w:val="none"/>
          <w:lang w:eastAsia="zh"/>
        </w:rPr>
        <w:t>事后处置的防控体系</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kern w:val="2"/>
          <w:sz w:val="32"/>
          <w:szCs w:val="32"/>
          <w:highlight w:val="none"/>
          <w:lang w:val="en-US" w:eastAsia="zh-CN" w:bidi="ar"/>
        </w:rPr>
        <w:t>保障电力市场平稳运行，维护市场成员合法权益。</w:t>
      </w:r>
    </w:p>
    <w:p w14:paraId="687B95CB">
      <w:pPr>
        <w:keepNext w:val="0"/>
        <w:keepLines w:val="0"/>
        <w:pageBreakBefore w:val="0"/>
        <w:widowControl/>
        <w:numPr>
          <w:ilvl w:val="0"/>
          <w:numId w:val="4"/>
        </w:numPr>
        <w:suppressLineNumbers w:val="0"/>
        <w:kinsoku/>
        <w:wordWrap/>
        <w:overflowPunct/>
        <w:topLinePunct w:val="0"/>
        <w:autoSpaceDN/>
        <w:bidi w:val="0"/>
        <w:adjustRightInd w:val="0"/>
        <w:snapToGrid w:val="0"/>
        <w:spacing w:line="588" w:lineRule="exact"/>
        <w:ind w:left="-13" w:firstLine="640" w:firstLineChars="0"/>
        <w:jc w:val="both"/>
        <w:rPr>
          <w:rFonts w:hint="eastAsia" w:ascii="Times New Roman" w:hAnsi="Times New Roman" w:eastAsia="方正仿宋_GBK" w:cs="Times New Roman"/>
          <w:b w:val="0"/>
          <w:bCs w:val="0"/>
          <w:color w:val="auto"/>
          <w:sz w:val="32"/>
          <w:szCs w:val="32"/>
          <w:highlight w:val="none"/>
          <w:lang w:eastAsia="zh" w:bidi="ar"/>
        </w:rPr>
      </w:pPr>
      <w:r>
        <w:rPr>
          <w:rFonts w:hint="eastAsia" w:ascii="Times New Roman" w:hAnsi="Times New Roman" w:eastAsia="方正仿宋_GBK" w:cs="Times New Roman"/>
          <w:b w:val="0"/>
          <w:bCs w:val="0"/>
          <w:color w:val="auto"/>
          <w:kern w:val="2"/>
          <w:sz w:val="32"/>
          <w:szCs w:val="32"/>
          <w:highlight w:val="none"/>
          <w:lang w:val="en-US" w:eastAsia="zh" w:bidi="ar"/>
        </w:rPr>
        <w:t>电力市场风险类型包括电力供需</w:t>
      </w:r>
      <w:r>
        <w:rPr>
          <w:rFonts w:hint="eastAsia" w:ascii="Times New Roman" w:hAnsi="Times New Roman" w:eastAsia="方正仿宋_GBK" w:cs="Times New Roman"/>
          <w:b w:val="0"/>
          <w:bCs w:val="0"/>
          <w:color w:val="auto"/>
          <w:kern w:val="2"/>
          <w:sz w:val="32"/>
          <w:szCs w:val="32"/>
          <w:highlight w:val="none"/>
          <w:lang w:val="en-US" w:eastAsia="zh-CN" w:bidi="ar"/>
        </w:rPr>
        <w:t>失衡</w:t>
      </w:r>
      <w:r>
        <w:rPr>
          <w:rFonts w:hint="eastAsia" w:ascii="Times New Roman" w:hAnsi="Times New Roman" w:eastAsia="方正仿宋_GBK" w:cs="Times New Roman"/>
          <w:b w:val="0"/>
          <w:bCs w:val="0"/>
          <w:color w:val="auto"/>
          <w:kern w:val="2"/>
          <w:sz w:val="32"/>
          <w:szCs w:val="32"/>
          <w:highlight w:val="none"/>
          <w:lang w:val="en-US" w:eastAsia="zh" w:bidi="ar"/>
        </w:rPr>
        <w:t>风险</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eastAsia" w:ascii="Times New Roman" w:hAnsi="Times New Roman" w:eastAsia="方正仿宋_GBK" w:cs="Times New Roman"/>
          <w:b w:val="0"/>
          <w:bCs w:val="0"/>
          <w:color w:val="auto"/>
          <w:kern w:val="2"/>
          <w:sz w:val="32"/>
          <w:szCs w:val="32"/>
          <w:highlight w:val="none"/>
          <w:lang w:val="en-US" w:eastAsia="zh" w:bidi="ar"/>
        </w:rPr>
        <w:t>市场价格异常风险</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eastAsia" w:ascii="Times New Roman" w:hAnsi="Times New Roman" w:eastAsia="方正仿宋_GBK" w:cs="Times New Roman"/>
          <w:b w:val="0"/>
          <w:bCs w:val="0"/>
          <w:color w:val="auto"/>
          <w:sz w:val="32"/>
          <w:szCs w:val="32"/>
          <w:highlight w:val="none"/>
          <w:lang w:eastAsia="zh" w:bidi="ar"/>
        </w:rPr>
        <w:t>不正当竞争</w:t>
      </w:r>
      <w:r>
        <w:rPr>
          <w:rFonts w:hint="eastAsia" w:ascii="Times New Roman" w:hAnsi="Times New Roman" w:eastAsia="方正仿宋_GBK" w:cs="Times New Roman"/>
          <w:b w:val="0"/>
          <w:bCs w:val="0"/>
          <w:color w:val="auto"/>
          <w:kern w:val="2"/>
          <w:sz w:val="32"/>
          <w:szCs w:val="32"/>
          <w:highlight w:val="none"/>
          <w:lang w:val="en-US" w:eastAsia="zh" w:bidi="ar"/>
        </w:rPr>
        <w:t>风险</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eastAsia" w:ascii="Times New Roman" w:hAnsi="Times New Roman" w:eastAsia="方正仿宋_GBK" w:cs="Times New Roman"/>
          <w:b w:val="0"/>
          <w:bCs w:val="0"/>
          <w:color w:val="auto"/>
          <w:kern w:val="2"/>
          <w:sz w:val="32"/>
          <w:szCs w:val="32"/>
          <w:highlight w:val="none"/>
          <w:lang w:val="en-US" w:eastAsia="zh" w:bidi="ar"/>
        </w:rPr>
        <w:t>技术支持系统</w:t>
      </w:r>
      <w:r>
        <w:rPr>
          <w:rFonts w:hint="eastAsia" w:ascii="Times New Roman" w:hAnsi="Times New Roman" w:eastAsia="方正仿宋_GBK" w:cs="Times New Roman"/>
          <w:b w:val="0"/>
          <w:bCs w:val="0"/>
          <w:color w:val="auto"/>
          <w:sz w:val="32"/>
          <w:szCs w:val="32"/>
          <w:highlight w:val="none"/>
          <w:lang w:eastAsia="zh" w:bidi="ar"/>
        </w:rPr>
        <w:t>运行异常</w:t>
      </w:r>
      <w:r>
        <w:rPr>
          <w:rFonts w:hint="eastAsia" w:ascii="Times New Roman" w:hAnsi="Times New Roman" w:eastAsia="方正仿宋_GBK" w:cs="Times New Roman"/>
          <w:b w:val="0"/>
          <w:bCs w:val="0"/>
          <w:color w:val="auto"/>
          <w:kern w:val="2"/>
          <w:sz w:val="32"/>
          <w:szCs w:val="32"/>
          <w:highlight w:val="none"/>
          <w:lang w:val="en-US" w:eastAsia="zh" w:bidi="ar"/>
        </w:rPr>
        <w:t>风险</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eastAsia" w:ascii="Times New Roman" w:hAnsi="Times New Roman" w:eastAsia="方正仿宋_GBK" w:cs="Times New Roman"/>
          <w:b w:val="0"/>
          <w:bCs w:val="0"/>
          <w:color w:val="auto"/>
          <w:sz w:val="32"/>
          <w:szCs w:val="32"/>
          <w:highlight w:val="none"/>
          <w:lang w:eastAsia="zh" w:bidi="ar"/>
        </w:rPr>
        <w:t>合同违</w:t>
      </w:r>
      <w:r>
        <w:rPr>
          <w:rFonts w:hint="eastAsia" w:ascii="Times New Roman" w:hAnsi="Times New Roman" w:eastAsia="方正仿宋_GBK" w:cs="Times New Roman"/>
          <w:b w:val="0"/>
          <w:bCs w:val="0"/>
          <w:color w:val="auto"/>
          <w:kern w:val="2"/>
          <w:sz w:val="32"/>
          <w:szCs w:val="32"/>
          <w:highlight w:val="none"/>
          <w:lang w:val="en-US" w:eastAsia="zh" w:bidi="ar"/>
        </w:rPr>
        <w:t>约风险</w:t>
      </w:r>
      <w:r>
        <w:rPr>
          <w:rFonts w:hint="eastAsia" w:ascii="Times New Roman" w:hAnsi="Times New Roman" w:eastAsia="方正仿宋_GBK" w:cs="Times New Roman"/>
          <w:b w:val="0"/>
          <w:bCs w:val="0"/>
          <w:color w:val="auto"/>
          <w:kern w:val="2"/>
          <w:sz w:val="32"/>
          <w:szCs w:val="32"/>
          <w:highlight w:val="none"/>
          <w:lang w:val="en-US" w:eastAsia="zh-CN" w:bidi="ar"/>
        </w:rPr>
        <w:t>及其他市场</w:t>
      </w:r>
      <w:r>
        <w:rPr>
          <w:rFonts w:hint="eastAsia" w:ascii="Times New Roman" w:hAnsi="Times New Roman" w:eastAsia="方正仿宋_GBK" w:cs="Times New Roman"/>
          <w:b w:val="0"/>
          <w:bCs w:val="0"/>
          <w:color w:val="auto"/>
          <w:kern w:val="2"/>
          <w:sz w:val="32"/>
          <w:szCs w:val="32"/>
          <w:highlight w:val="none"/>
          <w:lang w:val="en-US" w:eastAsia="zh" w:bidi="ar"/>
        </w:rPr>
        <w:t>风险</w:t>
      </w:r>
      <w:r>
        <w:rPr>
          <w:rFonts w:hint="eastAsia" w:ascii="Times New Roman" w:hAnsi="Times New Roman" w:eastAsia="方正仿宋_GBK" w:cs="Times New Roman"/>
          <w:b w:val="0"/>
          <w:bCs w:val="0"/>
          <w:color w:val="auto"/>
          <w:kern w:val="2"/>
          <w:sz w:val="32"/>
          <w:szCs w:val="32"/>
          <w:highlight w:val="none"/>
          <w:lang w:val="en-US" w:eastAsia="zh-CN" w:bidi="ar"/>
        </w:rPr>
        <w:t>等。</w:t>
      </w:r>
      <w:bookmarkStart w:id="249" w:name="_Toc5717"/>
      <w:bookmarkStart w:id="250" w:name="_Toc1506928954"/>
      <w:bookmarkStart w:id="251" w:name="_Toc3391"/>
      <w:bookmarkStart w:id="252" w:name="_Toc3139"/>
      <w:bookmarkStart w:id="253" w:name="_Toc29241"/>
    </w:p>
    <w:p w14:paraId="6556E227">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bidi="ar"/>
        </w:rPr>
        <w:t>各地应制定风险预案及</w:t>
      </w:r>
      <w:r>
        <w:rPr>
          <w:rFonts w:hint="eastAsia" w:ascii="Times New Roman" w:hAnsi="Times New Roman" w:eastAsia="方正仿宋_GBK" w:cs="Times New Roman"/>
          <w:b w:val="0"/>
          <w:bCs w:val="0"/>
          <w:color w:val="auto"/>
          <w:sz w:val="32"/>
          <w:szCs w:val="32"/>
          <w:highlight w:val="none"/>
          <w:lang w:bidi="ar"/>
        </w:rPr>
        <w:t>风险信息库，按照有关程序对各类市场风险进行预警</w:t>
      </w:r>
      <w:r>
        <w:rPr>
          <w:rFonts w:hint="eastAsia" w:ascii="Times New Roman" w:hAnsi="Times New Roman" w:eastAsia="方正仿宋_GBK" w:cs="Times New Roman"/>
          <w:b w:val="0"/>
          <w:bCs w:val="0"/>
          <w:color w:val="auto"/>
          <w:sz w:val="32"/>
          <w:szCs w:val="32"/>
          <w:highlight w:val="none"/>
          <w:lang w:val="en-US" w:eastAsia="zh-CN" w:bidi="ar"/>
        </w:rPr>
        <w:t>及处置</w:t>
      </w:r>
      <w:r>
        <w:rPr>
          <w:rFonts w:hint="eastAsia" w:ascii="Times New Roman" w:hAnsi="Times New Roman" w:eastAsia="方正仿宋_GBK" w:cs="Times New Roman"/>
          <w:b w:val="0"/>
          <w:bCs w:val="0"/>
          <w:color w:val="auto"/>
          <w:sz w:val="32"/>
          <w:szCs w:val="32"/>
          <w:highlight w:val="none"/>
          <w:lang w:bidi="ar"/>
        </w:rPr>
        <w:t>。</w:t>
      </w:r>
    </w:p>
    <w:p w14:paraId="22AE7C5E">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bidi="ar"/>
        </w:rPr>
        <w:t>电力</w:t>
      </w:r>
      <w:r>
        <w:rPr>
          <w:rFonts w:hint="eastAsia" w:ascii="Times New Roman" w:hAnsi="Times New Roman" w:eastAsia="方正仿宋_GBK" w:cs="Times New Roman"/>
          <w:b w:val="0"/>
          <w:bCs w:val="0"/>
          <w:color w:val="auto"/>
          <w:sz w:val="32"/>
          <w:szCs w:val="32"/>
          <w:highlight w:val="none"/>
          <w:lang w:bidi="ar"/>
        </w:rPr>
        <w:t>市场运营机构</w:t>
      </w:r>
      <w:r>
        <w:rPr>
          <w:rFonts w:hint="eastAsia" w:ascii="Times New Roman" w:hAnsi="Times New Roman" w:eastAsia="方正仿宋_GBK" w:cs="Times New Roman"/>
          <w:b w:val="0"/>
          <w:bCs w:val="0"/>
          <w:color w:val="auto"/>
          <w:sz w:val="32"/>
          <w:szCs w:val="32"/>
          <w:highlight w:val="none"/>
          <w:lang w:val="en-US" w:eastAsia="zh-CN" w:bidi="ar"/>
        </w:rPr>
        <w:t>应根据</w:t>
      </w:r>
      <w:r>
        <w:rPr>
          <w:rFonts w:hint="eastAsia" w:ascii="Times New Roman" w:hAnsi="Times New Roman" w:eastAsia="方正仿宋_GBK" w:cs="Times New Roman"/>
          <w:b w:val="0"/>
          <w:bCs w:val="0"/>
          <w:color w:val="auto"/>
          <w:sz w:val="32"/>
          <w:szCs w:val="32"/>
          <w:highlight w:val="none"/>
          <w:lang w:bidi="ar"/>
        </w:rPr>
        <w:t>“谁运营、谁防范，谁运营、谁监控”</w:t>
      </w:r>
      <w:r>
        <w:rPr>
          <w:rFonts w:hint="eastAsia" w:ascii="Times New Roman" w:hAnsi="Times New Roman" w:eastAsia="方正仿宋_GBK" w:cs="Times New Roman"/>
          <w:b w:val="0"/>
          <w:bCs w:val="0"/>
          <w:color w:val="auto"/>
          <w:sz w:val="32"/>
          <w:szCs w:val="32"/>
          <w:highlight w:val="none"/>
          <w:lang w:val="en-US" w:eastAsia="zh-CN" w:bidi="ar"/>
        </w:rPr>
        <w:t>的原则，</w:t>
      </w:r>
      <w:r>
        <w:rPr>
          <w:rFonts w:hint="eastAsia" w:ascii="Times New Roman" w:hAnsi="Times New Roman" w:eastAsia="方正仿宋_GBK" w:cs="Times New Roman"/>
          <w:b w:val="0"/>
          <w:bCs w:val="0"/>
          <w:color w:val="auto"/>
          <w:sz w:val="32"/>
          <w:szCs w:val="32"/>
          <w:highlight w:val="none"/>
          <w:lang w:bidi="ar"/>
        </w:rPr>
        <w:t>加强对电力市场各类交易活动的风险防范和监测</w:t>
      </w:r>
      <w:r>
        <w:rPr>
          <w:rFonts w:hint="eastAsia" w:ascii="Times New Roman" w:hAnsi="Times New Roman" w:eastAsia="方正仿宋_GBK" w:cs="Times New Roman"/>
          <w:b w:val="0"/>
          <w:bCs w:val="0"/>
          <w:color w:val="auto"/>
          <w:sz w:val="32"/>
          <w:szCs w:val="32"/>
          <w:highlight w:val="none"/>
          <w:lang w:eastAsia="zh-CN" w:bidi="ar"/>
        </w:rPr>
        <w:t>。</w:t>
      </w:r>
    </w:p>
    <w:p w14:paraId="3A661F9E">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经营主体应自觉维护公平公正</w:t>
      </w:r>
      <w:r>
        <w:rPr>
          <w:rFonts w:hint="eastAsia" w:ascii="Times New Roman" w:hAnsi="Times New Roman" w:eastAsia="方正仿宋_GBK" w:cs="Times New Roman"/>
          <w:b w:val="0"/>
          <w:bCs w:val="0"/>
          <w:color w:val="auto"/>
          <w:sz w:val="32"/>
          <w:szCs w:val="32"/>
          <w:highlight w:val="none"/>
          <w:lang w:val="en-US" w:eastAsia="zh-CN"/>
        </w:rPr>
        <w:t>的</w:t>
      </w:r>
      <w:r>
        <w:rPr>
          <w:rFonts w:hint="eastAsia" w:ascii="Times New Roman" w:hAnsi="Times New Roman" w:eastAsia="方正仿宋_GBK" w:cs="Times New Roman"/>
          <w:b w:val="0"/>
          <w:bCs w:val="0"/>
          <w:color w:val="auto"/>
          <w:sz w:val="32"/>
          <w:szCs w:val="32"/>
          <w:highlight w:val="none"/>
        </w:rPr>
        <w:t>电力市场秩序，严格遵守电力市场规则及国家相关规定，依法合规参与电力市场交易。</w:t>
      </w:r>
    </w:p>
    <w:p w14:paraId="158798A9">
      <w:pPr>
        <w:pageBreakBefore w:val="0"/>
        <w:numPr>
          <w:ilvl w:val="0"/>
          <w:numId w:val="4"/>
        </w:numPr>
        <w:kinsoku/>
        <w:wordWrap/>
        <w:overflowPunct/>
        <w:topLinePunct w:val="0"/>
        <w:autoSpaceDN/>
        <w:bidi w:val="0"/>
        <w:adjustRightInd w:val="0"/>
        <w:snapToGrid w:val="0"/>
        <w:spacing w:line="588" w:lineRule="exact"/>
        <w:ind w:left="-13" w:firstLine="640" w:firstLineChars="0"/>
        <w:rPr>
          <w:rFonts w:hint="eastAsia" w:ascii="方正仿宋_GBK" w:hAnsi="方正仿宋_GBK" w:eastAsia="方正仿宋_GBK" w:cs="方正仿宋_GBK"/>
          <w:b w:val="0"/>
          <w:bCs w:val="0"/>
          <w:color w:val="auto"/>
          <w:kern w:val="2"/>
          <w:sz w:val="32"/>
          <w:szCs w:val="32"/>
          <w:highlight w:val="none"/>
          <w:lang w:val="en-US" w:eastAsia="zh" w:bidi="ar"/>
        </w:rPr>
      </w:pPr>
      <w:r>
        <w:rPr>
          <w:rFonts w:hint="eastAsia" w:ascii="方正仿宋_GBK" w:hAnsi="方正仿宋_GBK" w:eastAsia="方正仿宋_GBK" w:cs="方正仿宋_GBK"/>
          <w:b w:val="0"/>
          <w:bCs w:val="0"/>
          <w:color w:val="auto"/>
          <w:sz w:val="32"/>
          <w:szCs w:val="32"/>
          <w:highlight w:val="none"/>
          <w:lang w:val="en-US" w:eastAsia="zh-CN" w:bidi="ar"/>
        </w:rPr>
        <w:t>当市场运行发生紧急风险时，应按规定由</w:t>
      </w:r>
      <w:bookmarkEnd w:id="249"/>
      <w:bookmarkEnd w:id="250"/>
      <w:bookmarkEnd w:id="251"/>
      <w:bookmarkEnd w:id="252"/>
      <w:bookmarkEnd w:id="253"/>
      <w:r>
        <w:rPr>
          <w:rFonts w:hint="eastAsia" w:ascii="方正仿宋_GBK" w:hAnsi="方正仿宋_GBK" w:eastAsia="方正仿宋_GBK" w:cs="方正仿宋_GBK"/>
          <w:b w:val="0"/>
          <w:bCs w:val="0"/>
          <w:i w:val="0"/>
          <w:iCs w:val="0"/>
          <w:caps w:val="0"/>
          <w:color w:val="auto"/>
          <w:spacing w:val="0"/>
          <w:sz w:val="32"/>
          <w:szCs w:val="32"/>
          <w:highlight w:val="none"/>
          <w:shd w:val="clear" w:fill="FFFFFF"/>
          <w:lang w:val="en-US" w:eastAsia="zh-CN"/>
        </w:rPr>
        <w:t>政府采取或授权市场运营机构执行</w:t>
      </w:r>
      <w:r>
        <w:rPr>
          <w:rFonts w:hint="eastAsia" w:ascii="方正仿宋_GBK" w:hAnsi="方正仿宋_GBK" w:eastAsia="方正仿宋_GBK" w:cs="方正仿宋_GBK"/>
          <w:b w:val="0"/>
          <w:bCs w:val="0"/>
          <w:color w:val="auto"/>
          <w:sz w:val="32"/>
          <w:szCs w:val="32"/>
          <w:highlight w:val="none"/>
        </w:rPr>
        <w:t>电力市场暂停、中止、</w:t>
      </w:r>
      <w:r>
        <w:rPr>
          <w:rFonts w:hint="eastAsia" w:ascii="Times New Roman" w:hAnsi="Times New Roman" w:eastAsia="方正仿宋_GBK" w:cs="Times New Roman"/>
          <w:b w:val="0"/>
          <w:bCs w:val="0"/>
          <w:color w:val="auto"/>
          <w:sz w:val="32"/>
          <w:szCs w:val="32"/>
          <w:highlight w:val="none"/>
          <w:lang w:eastAsia="zh-CN"/>
        </w:rPr>
        <w:t>恢复</w:t>
      </w:r>
      <w:r>
        <w:rPr>
          <w:rFonts w:hint="eastAsia" w:ascii="Times New Roman" w:hAnsi="Times New Roman" w:eastAsia="方正仿宋_GBK" w:cs="Times New Roman"/>
          <w:b w:val="0"/>
          <w:bCs w:val="0"/>
          <w:color w:val="auto"/>
          <w:sz w:val="32"/>
          <w:szCs w:val="32"/>
          <w:highlight w:val="none"/>
          <w:lang w:val="en-US" w:eastAsia="zh-CN"/>
        </w:rPr>
        <w:t>等措施。</w:t>
      </w:r>
      <w:r>
        <w:rPr>
          <w:rFonts w:hint="eastAsia" w:ascii="方正仿宋_GBK" w:hAnsi="方正仿宋_GBK" w:eastAsia="方正仿宋_GBK" w:cs="方正仿宋_GBK"/>
          <w:b w:val="0"/>
          <w:bCs w:val="0"/>
          <w:i w:val="0"/>
          <w:iCs w:val="0"/>
          <w:caps w:val="0"/>
          <w:color w:val="auto"/>
          <w:spacing w:val="0"/>
          <w:sz w:val="32"/>
          <w:szCs w:val="32"/>
          <w:highlight w:val="none"/>
          <w:shd w:val="clear" w:fill="FFFFFF"/>
          <w:lang w:val="en-US" w:eastAsia="zh-CN"/>
        </w:rPr>
        <w:t>市场运营机构</w:t>
      </w:r>
      <w:r>
        <w:rPr>
          <w:rFonts w:hint="eastAsia" w:ascii="方正仿宋_GBK" w:hAnsi="方正仿宋_GBK" w:eastAsia="方正仿宋_GBK" w:cs="方正仿宋_GBK"/>
          <w:b w:val="0"/>
          <w:bCs w:val="0"/>
          <w:i w:val="0"/>
          <w:iCs w:val="0"/>
          <w:caps w:val="0"/>
          <w:color w:val="auto"/>
          <w:spacing w:val="0"/>
          <w:sz w:val="32"/>
          <w:szCs w:val="32"/>
          <w:highlight w:val="none"/>
          <w:shd w:val="clear" w:fill="FFFFFF"/>
          <w:lang w:val="en-US" w:eastAsia="zh-CN"/>
        </w:rPr>
        <w:t>执行</w:t>
      </w:r>
      <w:r>
        <w:rPr>
          <w:rFonts w:hint="eastAsia" w:ascii="方正仿宋_GBK" w:hAnsi="方正仿宋_GBK" w:eastAsia="方正仿宋_GBK" w:cs="方正仿宋_GBK"/>
          <w:b w:val="0"/>
          <w:bCs w:val="0"/>
          <w:i w:val="0"/>
          <w:iCs w:val="0"/>
          <w:caps w:val="0"/>
          <w:color w:val="auto"/>
          <w:spacing w:val="0"/>
          <w:sz w:val="32"/>
          <w:szCs w:val="32"/>
          <w:highlight w:val="none"/>
          <w:shd w:val="clear" w:fill="FFFFFF"/>
          <w:lang w:val="en-US" w:eastAsia="zh-CN"/>
        </w:rPr>
        <w:t>市场干预</w:t>
      </w:r>
      <w:r>
        <w:rPr>
          <w:rFonts w:hint="eastAsia" w:ascii="方正仿宋_GBK" w:hAnsi="方正仿宋_GBK" w:eastAsia="方正仿宋_GBK" w:cs="方正仿宋_GBK"/>
          <w:b w:val="0"/>
          <w:bCs w:val="0"/>
          <w:i w:val="0"/>
          <w:iCs w:val="0"/>
          <w:caps w:val="0"/>
          <w:color w:val="auto"/>
          <w:spacing w:val="0"/>
          <w:sz w:val="32"/>
          <w:szCs w:val="32"/>
          <w:highlight w:val="none"/>
          <w:shd w:val="clear" w:fill="FFFFFF"/>
          <w:lang w:val="en-US" w:eastAsia="zh-CN"/>
        </w:rPr>
        <w:t>措施</w:t>
      </w:r>
      <w:r>
        <w:rPr>
          <w:rFonts w:hint="eastAsia" w:ascii="方正仿宋_GBK" w:hAnsi="方正仿宋_GBK" w:eastAsia="方正仿宋_GBK" w:cs="方正仿宋_GBK"/>
          <w:b w:val="0"/>
          <w:bCs w:val="0"/>
          <w:i w:val="0"/>
          <w:iCs w:val="0"/>
          <w:caps w:val="0"/>
          <w:color w:val="auto"/>
          <w:spacing w:val="0"/>
          <w:sz w:val="32"/>
          <w:szCs w:val="32"/>
          <w:highlight w:val="none"/>
          <w:shd w:val="clear" w:fill="FFFFFF"/>
          <w:lang w:val="en-US" w:eastAsia="zh-CN"/>
        </w:rPr>
        <w:t>后，应在3</w:t>
      </w:r>
      <w:r>
        <w:rPr>
          <w:rFonts w:hint="eastAsia" w:ascii="Times New Roman" w:hAnsi="Times New Roman" w:eastAsia="方正仿宋_GBK" w:cs="Times New Roman"/>
          <w:b w:val="0"/>
          <w:bCs w:val="0"/>
          <w:color w:val="auto"/>
          <w:sz w:val="32"/>
          <w:szCs w:val="32"/>
          <w:highlight w:val="none"/>
          <w:lang w:val="en-US" w:eastAsia="zh-CN"/>
        </w:rPr>
        <w:t>日内向</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CN"/>
        </w:rPr>
        <w:t>电力监管机构</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
        </w:rPr>
        <w:t>、</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CN"/>
        </w:rPr>
        <w:t>政府有关</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
        </w:rPr>
        <w:t>主管部门</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val="en-US" w:eastAsia="zh-CN"/>
        </w:rPr>
        <w:t>提交报告，</w:t>
      </w:r>
      <w:r>
        <w:rPr>
          <w:rFonts w:hint="eastAsia" w:ascii="Times New Roman" w:hAnsi="Times New Roman" w:eastAsia="方正仿宋_GBK" w:cs="Times New Roman"/>
          <w:b w:val="0"/>
          <w:bCs w:val="0"/>
          <w:color w:val="auto"/>
          <w:sz w:val="32"/>
          <w:szCs w:val="32"/>
          <w:highlight w:val="none"/>
          <w:lang w:val="en-US" w:eastAsia="zh-CN"/>
        </w:rPr>
        <w:t>按规定程序</w:t>
      </w:r>
      <w:r>
        <w:rPr>
          <w:rFonts w:hint="eastAsia" w:ascii="Times New Roman" w:hAnsi="Times New Roman" w:eastAsia="方正仿宋_GBK" w:cs="Times New Roman"/>
          <w:b w:val="0"/>
          <w:bCs w:val="0"/>
          <w:color w:val="auto"/>
          <w:sz w:val="32"/>
          <w:szCs w:val="32"/>
          <w:highlight w:val="none"/>
          <w:lang w:eastAsia="zh-CN"/>
        </w:rPr>
        <w:t>向</w:t>
      </w:r>
      <w:r>
        <w:rPr>
          <w:rFonts w:hint="eastAsia" w:ascii="Times New Roman" w:hAnsi="Times New Roman" w:eastAsia="方正仿宋_GBK" w:cs="Times New Roman"/>
          <w:b w:val="0"/>
          <w:bCs w:val="0"/>
          <w:color w:val="auto"/>
          <w:sz w:val="32"/>
          <w:szCs w:val="32"/>
          <w:highlight w:val="none"/>
          <w:lang w:val="en-US" w:eastAsia="zh-CN"/>
        </w:rPr>
        <w:t>相关经营</w:t>
      </w:r>
      <w:r>
        <w:rPr>
          <w:rFonts w:hint="eastAsia" w:ascii="Times New Roman" w:hAnsi="Times New Roman" w:eastAsia="方正仿宋_GBK" w:cs="Times New Roman"/>
          <w:b w:val="0"/>
          <w:bCs w:val="0"/>
          <w:color w:val="auto"/>
          <w:sz w:val="32"/>
          <w:szCs w:val="32"/>
          <w:highlight w:val="none"/>
          <w:lang w:eastAsia="zh-CN"/>
        </w:rPr>
        <w:t>主体披露。</w:t>
      </w:r>
    </w:p>
    <w:p w14:paraId="29FB3BC5">
      <w:pPr>
        <w:numPr>
          <w:ilvl w:val="0"/>
          <w:numId w:val="4"/>
        </w:numPr>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当</w:t>
      </w:r>
      <w:r>
        <w:rPr>
          <w:rFonts w:hint="eastAsia" w:ascii="Times New Roman" w:hAnsi="Times New Roman" w:eastAsia="方正仿宋_GBK" w:cs="Times New Roman"/>
          <w:b w:val="0"/>
          <w:bCs w:val="0"/>
          <w:color w:val="auto"/>
          <w:sz w:val="32"/>
          <w:szCs w:val="32"/>
          <w:highlight w:val="none"/>
          <w:lang w:val="en-US" w:eastAsia="zh-CN"/>
        </w:rPr>
        <w:t>电力市场发生争议时，市场成员可自行协商解决，协商无法达成一致时可提交</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CN"/>
        </w:rPr>
        <w:t>电力监管机构</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
        </w:rPr>
        <w:t>、</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CN"/>
        </w:rPr>
        <w:t>政府有关</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
        </w:rPr>
        <w:t>主管部门</w:t>
      </w:r>
      <w:r>
        <w:rPr>
          <w:rFonts w:hint="eastAsia" w:ascii="Times New Roman" w:hAnsi="Times New Roman" w:eastAsia="方正仿宋_GBK" w:cs="Times New Roman"/>
          <w:b w:val="0"/>
          <w:bCs w:val="0"/>
          <w:color w:val="auto"/>
          <w:sz w:val="32"/>
          <w:szCs w:val="32"/>
          <w:highlight w:val="none"/>
          <w:lang w:val="en-US" w:eastAsia="zh-CN"/>
        </w:rPr>
        <w:t>依法协调，也可提交仲裁委员会仲裁或向人民法院提起诉讼</w:t>
      </w:r>
      <w:r>
        <w:rPr>
          <w:rFonts w:hint="eastAsia" w:ascii="Times New Roman" w:hAnsi="Times New Roman" w:eastAsia="方正仿宋_GBK" w:cs="Times New Roman"/>
          <w:b w:val="0"/>
          <w:bCs w:val="0"/>
          <w:color w:val="auto"/>
          <w:sz w:val="32"/>
          <w:szCs w:val="32"/>
          <w:highlight w:val="none"/>
        </w:rPr>
        <w:t>。</w:t>
      </w:r>
    </w:p>
    <w:p w14:paraId="38A9A9DE">
      <w:pPr>
        <w:numPr>
          <w:ilvl w:val="0"/>
          <w:numId w:val="4"/>
        </w:numPr>
        <w:adjustRightInd w:val="0"/>
        <w:snapToGrid w:val="0"/>
        <w:spacing w:line="588" w:lineRule="exact"/>
        <w:ind w:left="-13" w:firstLine="640"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市场成员有义务为</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CN"/>
        </w:rPr>
        <w:t>电力监管机构</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
        </w:rPr>
        <w:t>、</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CN"/>
        </w:rPr>
        <w:t>政府有关</w:t>
      </w:r>
      <w:r>
        <w:rPr>
          <w:rFonts w:hint="eastAsia" w:ascii="Times New Roman" w:hAnsi="Times New Roman" w:eastAsia="方正仿宋_GBK" w:cs="Times New Roman"/>
          <w:b w:val="0"/>
          <w:bCs w:val="0"/>
          <w:i w:val="0"/>
          <w:iCs w:val="0"/>
          <w:caps w:val="0"/>
          <w:color w:val="auto"/>
          <w:spacing w:val="0"/>
          <w:sz w:val="32"/>
          <w:szCs w:val="32"/>
          <w:highlight w:val="none"/>
          <w:shd w:val="clear" w:fill="FFFFFF"/>
          <w:lang w:eastAsia="zh"/>
        </w:rPr>
        <w:t>主管部门</w:t>
      </w:r>
      <w:r>
        <w:rPr>
          <w:rFonts w:hint="eastAsia" w:ascii="Times New Roman" w:hAnsi="Times New Roman" w:eastAsia="方正仿宋_GBK" w:cs="Times New Roman"/>
          <w:b w:val="0"/>
          <w:bCs w:val="0"/>
          <w:color w:val="auto"/>
          <w:sz w:val="32"/>
          <w:szCs w:val="32"/>
          <w:highlight w:val="none"/>
        </w:rPr>
        <w:t>提供争议处理所需的数据和材料。承担调解工作的相关人员应遵守保密规定，不得泄露因调解工作知悉的商业秘密。</w:t>
      </w:r>
    </w:p>
    <w:p w14:paraId="074C69AC">
      <w:pPr>
        <w:pStyle w:val="3"/>
        <w:adjustRightInd w:val="0"/>
        <w:snapToGrid w:val="0"/>
        <w:spacing w:line="588" w:lineRule="exact"/>
        <w:ind w:firstLineChars="0"/>
        <w:jc w:val="center"/>
        <w:rPr>
          <w:rFonts w:hint="default" w:ascii="Times New Roman" w:hAnsi="Times New Roman" w:eastAsia="黑体" w:cs="Times New Roman"/>
          <w:b w:val="0"/>
          <w:bCs w:val="0"/>
          <w:color w:val="auto"/>
          <w:sz w:val="32"/>
          <w:szCs w:val="32"/>
          <w:highlight w:val="none"/>
          <w:lang w:val="en-US" w:eastAsia="zh-CN"/>
        </w:rPr>
      </w:pPr>
      <w:bookmarkStart w:id="254" w:name="_Toc488995260"/>
      <w:bookmarkStart w:id="255" w:name="_Toc29754"/>
      <w:bookmarkStart w:id="256" w:name="_Toc20188"/>
      <w:bookmarkStart w:id="257" w:name="_Toc866452207"/>
      <w:bookmarkStart w:id="258" w:name="_Toc435317972"/>
      <w:bookmarkStart w:id="259" w:name="_Toc26241"/>
      <w:bookmarkStart w:id="260" w:name="_Toc26666"/>
      <w:bookmarkStart w:id="261" w:name="_Toc8374"/>
      <w:bookmarkStart w:id="262" w:name="_Toc5726"/>
      <w:bookmarkStart w:id="263" w:name="_Toc17826"/>
      <w:bookmarkStart w:id="264" w:name="_Toc26253"/>
      <w:bookmarkStart w:id="265" w:name="_Toc21207"/>
      <w:bookmarkStart w:id="266" w:name="_Toc25698"/>
      <w:bookmarkStart w:id="267" w:name="_Toc889052704"/>
      <w:r>
        <w:rPr>
          <w:rFonts w:hint="eastAsia" w:ascii="Times New Roman" w:hAnsi="Times New Roman" w:eastAsia="黑体" w:cs="Times New Roman"/>
          <w:b w:val="0"/>
          <w:bCs w:val="0"/>
          <w:color w:val="auto"/>
          <w:sz w:val="32"/>
          <w:szCs w:val="32"/>
          <w:highlight w:val="none"/>
          <w:lang w:eastAsia="zh"/>
        </w:rPr>
        <w:t>第十</w:t>
      </w:r>
      <w:r>
        <w:rPr>
          <w:rFonts w:hint="eastAsia" w:ascii="Times New Roman" w:hAnsi="Times New Roman" w:eastAsia="黑体" w:cs="Times New Roman"/>
          <w:b w:val="0"/>
          <w:bCs w:val="0"/>
          <w:color w:val="auto"/>
          <w:sz w:val="32"/>
          <w:szCs w:val="32"/>
          <w:highlight w:val="none"/>
          <w:lang w:val="en-US" w:eastAsia="zh-CN"/>
        </w:rPr>
        <w:t>二</w:t>
      </w:r>
      <w:r>
        <w:rPr>
          <w:rFonts w:hint="eastAsia" w:ascii="Times New Roman" w:hAnsi="Times New Roman" w:eastAsia="黑体" w:cs="Times New Roman"/>
          <w:b w:val="0"/>
          <w:bCs w:val="0"/>
          <w:color w:val="auto"/>
          <w:sz w:val="32"/>
          <w:szCs w:val="32"/>
          <w:highlight w:val="none"/>
          <w:lang w:eastAsia="zh"/>
        </w:rPr>
        <w:t xml:space="preserve">章 </w:t>
      </w:r>
      <w:r>
        <w:rPr>
          <w:rFonts w:hint="eastAsia" w:ascii="Times New Roman" w:hAnsi="Times New Roman" w:eastAsia="黑体" w:cs="Times New Roman"/>
          <w:b w:val="0"/>
          <w:bCs w:val="0"/>
          <w:color w:val="auto"/>
          <w:sz w:val="32"/>
          <w:szCs w:val="32"/>
          <w:highlight w:val="none"/>
          <w:lang w:val="en-US" w:eastAsia="zh-CN"/>
        </w:rPr>
        <w:t>法律责任</w:t>
      </w:r>
      <w:bookmarkEnd w:id="254"/>
      <w:bookmarkEnd w:id="255"/>
      <w:bookmarkEnd w:id="256"/>
      <w:bookmarkEnd w:id="257"/>
      <w:bookmarkEnd w:id="258"/>
    </w:p>
    <w:p w14:paraId="173AA55E">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adjustRightInd w:val="0"/>
        <w:snapToGrid w:val="0"/>
        <w:spacing w:before="30" w:beforeAutospacing="0" w:after="30" w:afterAutospacing="0" w:line="588" w:lineRule="exact"/>
        <w:ind w:left="-11" w:right="0" w:firstLine="640" w:firstLineChars="200"/>
        <w:rPr>
          <w:rFonts w:hint="eastAsia" w:ascii="Times New Roman" w:hAnsi="Times New Roman" w:eastAsia="方正仿宋_GBK" w:cs="Times New Roman"/>
          <w:b w:val="0"/>
          <w:bCs w:val="0"/>
          <w:i w:val="0"/>
          <w:iCs w:val="0"/>
          <w:caps w:val="0"/>
          <w:color w:val="auto"/>
          <w:spacing w:val="0"/>
          <w:kern w:val="2"/>
          <w:sz w:val="32"/>
          <w:szCs w:val="32"/>
          <w:highlight w:val="none"/>
          <w:lang w:bidi="ar"/>
        </w:rPr>
      </w:pPr>
      <w:r>
        <w:rPr>
          <w:rFonts w:hint="eastAsia" w:ascii="Times New Roman" w:hAnsi="Times New Roman" w:eastAsia="方正仿宋_GBK" w:cs="Times New Roman"/>
          <w:b w:val="0"/>
          <w:bCs w:val="0"/>
          <w:color w:val="auto"/>
          <w:sz w:val="32"/>
          <w:szCs w:val="32"/>
          <w:highlight w:val="none"/>
          <w:lang w:bidi="ar"/>
        </w:rPr>
        <w:t>电力市场成员违反本</w:t>
      </w:r>
      <w:r>
        <w:rPr>
          <w:rFonts w:hint="eastAsia" w:ascii="Times New Roman" w:hAnsi="Times New Roman" w:eastAsia="方正仿宋_GBK" w:cs="Times New Roman"/>
          <w:b w:val="0"/>
          <w:bCs w:val="0"/>
          <w:color w:val="auto"/>
          <w:sz w:val="32"/>
          <w:szCs w:val="32"/>
          <w:highlight w:val="none"/>
          <w:lang w:val="en-US" w:eastAsia="zh-CN" w:bidi="ar"/>
        </w:rPr>
        <w:t>规则</w:t>
      </w:r>
      <w:r>
        <w:rPr>
          <w:rFonts w:hint="eastAsia" w:ascii="Times New Roman" w:hAnsi="Times New Roman" w:eastAsia="方正仿宋_GBK" w:cs="Times New Roman"/>
          <w:b w:val="0"/>
          <w:bCs w:val="0"/>
          <w:color w:val="auto"/>
          <w:sz w:val="32"/>
          <w:szCs w:val="32"/>
          <w:highlight w:val="none"/>
          <w:lang w:bidi="ar"/>
        </w:rPr>
        <w:t>规定，依照《电力监管条例》</w:t>
      </w:r>
      <w:r>
        <w:rPr>
          <w:rFonts w:hint="eastAsia" w:ascii="Times New Roman" w:hAnsi="Times New Roman" w:eastAsia="方正仿宋_GBK" w:cs="Times New Roman"/>
          <w:b w:val="0"/>
          <w:bCs w:val="0"/>
          <w:color w:val="auto"/>
          <w:sz w:val="32"/>
          <w:szCs w:val="32"/>
          <w:highlight w:val="none"/>
          <w:lang w:val="en-US" w:eastAsia="zh-CN" w:bidi="ar"/>
        </w:rPr>
        <w:t>有关</w:t>
      </w:r>
      <w:r>
        <w:rPr>
          <w:rFonts w:hint="eastAsia" w:ascii="Times New Roman" w:hAnsi="Times New Roman" w:eastAsia="方正仿宋_GBK" w:cs="Times New Roman"/>
          <w:b w:val="0"/>
          <w:bCs w:val="0"/>
          <w:color w:val="auto"/>
          <w:sz w:val="32"/>
          <w:szCs w:val="32"/>
          <w:highlight w:val="none"/>
          <w:lang w:bidi="ar"/>
        </w:rPr>
        <w:t>规定处理</w:t>
      </w:r>
      <w:r>
        <w:rPr>
          <w:rFonts w:hint="eastAsia" w:ascii="Times New Roman" w:hAnsi="Times New Roman" w:eastAsia="方正仿宋_GBK" w:cs="Times New Roman"/>
          <w:b w:val="0"/>
          <w:bCs w:val="0"/>
          <w:color w:val="auto"/>
          <w:sz w:val="32"/>
          <w:szCs w:val="32"/>
          <w:highlight w:val="none"/>
          <w:lang w:eastAsia="zh-CN" w:bidi="ar"/>
        </w:rPr>
        <w:t>。</w:t>
      </w:r>
    </w:p>
    <w:p w14:paraId="152A7E70">
      <w:pPr>
        <w:numPr>
          <w:ilvl w:val="0"/>
          <w:numId w:val="4"/>
        </w:numPr>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lang w:bidi="ar"/>
        </w:rPr>
      </w:pPr>
      <w:r>
        <w:rPr>
          <w:rFonts w:hint="eastAsia" w:ascii="Times New Roman" w:hAnsi="Times New Roman" w:eastAsia="方正仿宋_GBK" w:cs="Times New Roman"/>
          <w:b w:val="0"/>
          <w:bCs w:val="0"/>
          <w:color w:val="auto"/>
          <w:sz w:val="32"/>
          <w:szCs w:val="32"/>
          <w:highlight w:val="none"/>
          <w:lang w:bidi="ar"/>
        </w:rPr>
        <w:t>任何单位和个人扰乱电力市场秩序且影响电力市场活动正常进行，或者危害电力市场及相关技术支持系统安全的，按照有关规定处理；构成犯罪的，依法追究刑事责任。</w:t>
      </w:r>
    </w:p>
    <w:p w14:paraId="48A05D66">
      <w:pPr>
        <w:pStyle w:val="3"/>
        <w:adjustRightInd w:val="0"/>
        <w:snapToGrid w:val="0"/>
        <w:spacing w:line="588" w:lineRule="exact"/>
        <w:ind w:firstLineChars="0"/>
        <w:jc w:val="center"/>
        <w:rPr>
          <w:rFonts w:hint="eastAsia" w:ascii="Times New Roman" w:hAnsi="Times New Roman" w:eastAsia="黑体" w:cs="Times New Roman"/>
          <w:b w:val="0"/>
          <w:bCs w:val="0"/>
          <w:color w:val="auto"/>
          <w:sz w:val="32"/>
          <w:szCs w:val="32"/>
          <w:highlight w:val="none"/>
          <w:lang w:eastAsia="zh"/>
        </w:rPr>
      </w:pPr>
      <w:bookmarkStart w:id="268" w:name="_Toc27877"/>
      <w:bookmarkStart w:id="269" w:name="_Toc182461487"/>
      <w:bookmarkStart w:id="270" w:name="_Toc1694446897"/>
      <w:bookmarkStart w:id="271" w:name="_Toc12278"/>
      <w:bookmarkStart w:id="272" w:name="_Toc1979626588"/>
      <w:r>
        <w:rPr>
          <w:rFonts w:hint="eastAsia" w:ascii="Times New Roman" w:hAnsi="Times New Roman" w:eastAsia="黑体" w:cs="Times New Roman"/>
          <w:b w:val="0"/>
          <w:bCs w:val="0"/>
          <w:color w:val="auto"/>
          <w:sz w:val="32"/>
          <w:szCs w:val="32"/>
          <w:highlight w:val="none"/>
          <w:lang w:eastAsia="zh"/>
        </w:rPr>
        <w:t>第十</w:t>
      </w:r>
      <w:r>
        <w:rPr>
          <w:rFonts w:hint="eastAsia" w:ascii="Times New Roman" w:hAnsi="Times New Roman" w:eastAsia="黑体" w:cs="Times New Roman"/>
          <w:b w:val="0"/>
          <w:bCs w:val="0"/>
          <w:color w:val="auto"/>
          <w:sz w:val="32"/>
          <w:szCs w:val="32"/>
          <w:highlight w:val="none"/>
          <w:lang w:val="en-US" w:eastAsia="zh-CN"/>
        </w:rPr>
        <w:t>三</w:t>
      </w:r>
      <w:r>
        <w:rPr>
          <w:rFonts w:hint="eastAsia" w:ascii="Times New Roman" w:hAnsi="Times New Roman" w:eastAsia="黑体" w:cs="Times New Roman"/>
          <w:b w:val="0"/>
          <w:bCs w:val="0"/>
          <w:color w:val="auto"/>
          <w:sz w:val="32"/>
          <w:szCs w:val="32"/>
          <w:highlight w:val="none"/>
          <w:lang w:eastAsia="zh"/>
        </w:rPr>
        <w:t>章 附则</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22B9015">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本规则由国家发展改革委、国家能源局负责解释。</w:t>
      </w:r>
    </w:p>
    <w:p w14:paraId="3608ADEC">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eastAsia="zh-CN"/>
        </w:rPr>
        <w:t>电力监管机构</w:t>
      </w:r>
      <w:r>
        <w:rPr>
          <w:rFonts w:hint="eastAsia" w:ascii="Times New Roman" w:hAnsi="Times New Roman" w:eastAsia="方正仿宋_GBK" w:cs="Times New Roman"/>
          <w:b w:val="0"/>
          <w:bCs w:val="0"/>
          <w:color w:val="auto"/>
          <w:sz w:val="32"/>
          <w:szCs w:val="32"/>
          <w:highlight w:val="none"/>
        </w:rPr>
        <w:t>会同</w:t>
      </w:r>
      <w:r>
        <w:rPr>
          <w:rFonts w:hint="eastAsia" w:ascii="Times New Roman" w:hAnsi="Times New Roman" w:eastAsia="方正仿宋_GBK" w:cs="Times New Roman"/>
          <w:b w:val="0"/>
          <w:bCs w:val="0"/>
          <w:color w:val="auto"/>
          <w:sz w:val="32"/>
          <w:szCs w:val="32"/>
          <w:highlight w:val="none"/>
          <w:lang w:eastAsia="zh-CN"/>
        </w:rPr>
        <w:t>地方</w:t>
      </w:r>
      <w:r>
        <w:rPr>
          <w:rFonts w:hint="eastAsia" w:ascii="Times New Roman" w:hAnsi="Times New Roman" w:eastAsia="方正仿宋_GBK" w:cs="Times New Roman"/>
          <w:b w:val="0"/>
          <w:bCs w:val="0"/>
          <w:color w:val="auto"/>
          <w:sz w:val="32"/>
          <w:szCs w:val="32"/>
          <w:highlight w:val="none"/>
        </w:rPr>
        <w:t>政府</w:t>
      </w:r>
      <w:r>
        <w:rPr>
          <w:rFonts w:hint="eastAsia" w:ascii="Times New Roman" w:hAnsi="Times New Roman" w:eastAsia="方正仿宋_GBK" w:cs="Times New Roman"/>
          <w:b w:val="0"/>
          <w:bCs w:val="0"/>
          <w:color w:val="auto"/>
          <w:sz w:val="32"/>
          <w:szCs w:val="32"/>
          <w:highlight w:val="none"/>
          <w:lang w:eastAsia="zh-CN"/>
        </w:rPr>
        <w:t>有关主管部门</w:t>
      </w:r>
      <w:r>
        <w:rPr>
          <w:rFonts w:hint="eastAsia" w:ascii="Times New Roman" w:hAnsi="Times New Roman" w:eastAsia="方正仿宋_GBK" w:cs="Times New Roman"/>
          <w:b w:val="0"/>
          <w:bCs w:val="0"/>
          <w:color w:val="auto"/>
          <w:sz w:val="32"/>
          <w:szCs w:val="32"/>
          <w:highlight w:val="none"/>
          <w:lang w:val="en-US" w:eastAsia="zh-CN"/>
        </w:rPr>
        <w:t>组织电力交易机构</w:t>
      </w:r>
      <w:r>
        <w:rPr>
          <w:rFonts w:hint="eastAsia" w:ascii="Times New Roman" w:hAnsi="Times New Roman" w:eastAsia="方正仿宋_GBK" w:cs="Times New Roman"/>
          <w:b w:val="0"/>
          <w:bCs w:val="0"/>
          <w:color w:val="auto"/>
          <w:sz w:val="32"/>
          <w:szCs w:val="32"/>
          <w:highlight w:val="none"/>
        </w:rPr>
        <w:t>根据本规则</w:t>
      </w:r>
      <w:r>
        <w:rPr>
          <w:rFonts w:hint="eastAsia" w:ascii="Times New Roman" w:hAnsi="Times New Roman" w:eastAsia="方正仿宋_GBK" w:cs="Times New Roman"/>
          <w:b w:val="0"/>
          <w:bCs w:val="0"/>
          <w:color w:val="auto"/>
          <w:sz w:val="32"/>
          <w:szCs w:val="32"/>
          <w:highlight w:val="none"/>
          <w:lang w:val="en-US" w:eastAsia="zh-CN"/>
        </w:rPr>
        <w:t>制定</w:t>
      </w:r>
      <w:r>
        <w:rPr>
          <w:rFonts w:hint="eastAsia" w:ascii="Times New Roman" w:hAnsi="Times New Roman" w:eastAsia="方正仿宋_GBK" w:cs="Times New Roman"/>
          <w:b w:val="0"/>
          <w:bCs w:val="0"/>
          <w:color w:val="auto"/>
          <w:sz w:val="32"/>
          <w:szCs w:val="32"/>
          <w:highlight w:val="none"/>
          <w:lang w:eastAsia="zh-CN"/>
        </w:rPr>
        <w:t>电力中长期市场</w:t>
      </w:r>
      <w:r>
        <w:rPr>
          <w:rFonts w:hint="eastAsia" w:ascii="Times New Roman" w:hAnsi="Times New Roman" w:eastAsia="方正仿宋_GBK" w:cs="Times New Roman"/>
          <w:b w:val="0"/>
          <w:bCs w:val="0"/>
          <w:color w:val="auto"/>
          <w:sz w:val="32"/>
          <w:szCs w:val="32"/>
          <w:highlight w:val="none"/>
        </w:rPr>
        <w:t>实施细则</w:t>
      </w:r>
      <w:r>
        <w:rPr>
          <w:rFonts w:hint="eastAsia" w:ascii="Times New Roman" w:hAnsi="Times New Roman" w:eastAsia="方正仿宋_GBK" w:cs="Times New Roman"/>
          <w:b w:val="0"/>
          <w:bCs w:val="0"/>
          <w:color w:val="auto"/>
          <w:sz w:val="32"/>
          <w:szCs w:val="32"/>
          <w:highlight w:val="none"/>
          <w:lang w:val="en-US" w:eastAsia="zh-CN"/>
        </w:rPr>
        <w:t>。</w:t>
      </w:r>
    </w:p>
    <w:p w14:paraId="26BD4431">
      <w:pPr>
        <w:pageBreakBefore w:val="0"/>
        <w:numPr>
          <w:ilvl w:val="-1"/>
          <w:numId w:val="0"/>
        </w:numPr>
        <w:kinsoku/>
        <w:wordWrap/>
        <w:overflowPunct/>
        <w:topLinePunct w:val="0"/>
        <w:autoSpaceDN/>
        <w:bidi w:val="0"/>
        <w:adjustRightInd w:val="0"/>
        <w:snapToGrid w:val="0"/>
        <w:spacing w:line="588" w:lineRule="exact"/>
        <w:ind w:left="0" w:firstLine="640" w:firstLineChars="200"/>
        <w:rPr>
          <w:rFonts w:hint="eastAsia"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val="en-US" w:eastAsia="zh-CN"/>
        </w:rPr>
        <w:t>跨经营区、跨省跨区电力中长期交易实施细则由北京电力交易中心、广州电力交易中心按照相关流程编写，根据实施范围报国家发展改革委、国家能源局或国家能源局区域派出机构批复后，由电力交易机构印发执行。</w:t>
      </w:r>
    </w:p>
    <w:p w14:paraId="453977ED">
      <w:pPr>
        <w:pageBreakBefore w:val="0"/>
        <w:numPr>
          <w:ilvl w:val="0"/>
          <w:numId w:val="4"/>
        </w:numPr>
        <w:kinsoku/>
        <w:wordWrap/>
        <w:overflowPunct/>
        <w:topLinePunct w:val="0"/>
        <w:autoSpaceDN/>
        <w:bidi w:val="0"/>
        <w:adjustRightInd w:val="0"/>
        <w:snapToGrid w:val="0"/>
        <w:spacing w:line="588" w:lineRule="exact"/>
        <w:ind w:left="-13" w:firstLine="643" w:firstLineChars="0"/>
        <w:rPr>
          <w:rFonts w:hint="eastAsia" w:ascii="Times New Roman" w:hAnsi="Times New Roman" w:eastAsia="仿宋"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rPr>
        <w:t>本规则自</w:t>
      </w:r>
      <w:r>
        <w:rPr>
          <w:rFonts w:hint="eastAsia" w:ascii="Times New Roman" w:hAnsi="Times New Roman" w:eastAsia="方正仿宋_GBK" w:cs="Times New Roman"/>
          <w:b w:val="0"/>
          <w:bCs w:val="0"/>
          <w:color w:val="auto"/>
          <w:sz w:val="32"/>
          <w:szCs w:val="32"/>
          <w:highlight w:val="none"/>
          <w:lang w:val="en-US" w:eastAsia="zh-CN"/>
        </w:rPr>
        <w:t>2025年XX月XX日起</w:t>
      </w:r>
      <w:r>
        <w:rPr>
          <w:rFonts w:hint="eastAsia" w:ascii="Times New Roman" w:hAnsi="Times New Roman" w:eastAsia="方正仿宋_GBK" w:cs="Times New Roman"/>
          <w:b w:val="0"/>
          <w:bCs w:val="0"/>
          <w:color w:val="auto"/>
          <w:sz w:val="32"/>
          <w:szCs w:val="32"/>
          <w:highlight w:val="none"/>
        </w:rPr>
        <w:t>施行，</w:t>
      </w:r>
      <w:r>
        <w:rPr>
          <w:rFonts w:hint="eastAsia" w:ascii="Times New Roman" w:hAnsi="Times New Roman" w:eastAsia="方正仿宋_GBK" w:cs="Times New Roman"/>
          <w:b w:val="0"/>
          <w:bCs w:val="0"/>
          <w:color w:val="auto"/>
          <w:sz w:val="32"/>
          <w:szCs w:val="32"/>
          <w:highlight w:val="none"/>
          <w:lang w:val="en-US" w:eastAsia="zh-CN"/>
        </w:rPr>
        <w:t>原《电力中长期交易基本规则》（</w:t>
      </w:r>
      <w:r>
        <w:rPr>
          <w:rFonts w:hint="eastAsia" w:ascii="Times New Roman" w:hAnsi="Times New Roman" w:eastAsia="方正仿宋_GBK" w:cs="Times New Roman"/>
          <w:b w:val="0"/>
          <w:bCs w:val="0"/>
          <w:color w:val="auto"/>
          <w:sz w:val="32"/>
          <w:szCs w:val="32"/>
          <w:highlight w:val="none"/>
        </w:rPr>
        <w:t>发改能源规〔2020〕889号</w:t>
      </w:r>
      <w:r>
        <w:rPr>
          <w:rFonts w:hint="eastAsia" w:ascii="Times New Roman" w:hAnsi="Times New Roman" w:eastAsia="方正仿宋_GBK" w:cs="Times New Roman"/>
          <w:b w:val="0"/>
          <w:bCs w:val="0"/>
          <w:color w:val="auto"/>
          <w:sz w:val="32"/>
          <w:szCs w:val="32"/>
          <w:highlight w:val="none"/>
          <w:lang w:val="en-US" w:eastAsia="zh-CN"/>
        </w:rPr>
        <w:t>）、原《电力中长期交易基本规则——绿色电力交易专章》（发改能源〔2024〕1123号）同时作废</w:t>
      </w:r>
      <w:r>
        <w:rPr>
          <w:rFonts w:hint="eastAsia" w:ascii="Times New Roman" w:hAnsi="Times New Roman" w:eastAsia="方正仿宋_GBK" w:cs="Times New Roman"/>
          <w:b w:val="0"/>
          <w:bCs w:val="0"/>
          <w:color w:val="auto"/>
          <w:sz w:val="32"/>
          <w:szCs w:val="32"/>
          <w:highlight w:val="none"/>
        </w:rPr>
        <w:t>。</w:t>
      </w:r>
    </w:p>
    <w:p w14:paraId="4D266BC1">
      <w:pPr>
        <w:rPr>
          <w:rFonts w:hint="eastAsia" w:ascii="Times New Roman" w:hAnsi="Times New Roman" w:cs="Times New Roman"/>
          <w:b w:val="0"/>
          <w:bCs w:val="0"/>
          <w:color w:val="auto"/>
        </w:rPr>
        <w:sectPr>
          <w:footerReference r:id="rId4" w:type="default"/>
          <w:pgSz w:w="11906" w:h="16838"/>
          <w:pgMar w:top="1440" w:right="1800" w:bottom="1440" w:left="1800" w:header="851" w:footer="992" w:gutter="0"/>
          <w:pgNumType w:fmt="decimal" w:start="1"/>
          <w:cols w:space="425" w:num="1"/>
          <w:docGrid w:type="lines" w:linePitch="312" w:charSpace="0"/>
        </w:sectPr>
      </w:pPr>
      <w:bookmarkStart w:id="273" w:name="_Toc1307386454"/>
      <w:bookmarkStart w:id="274" w:name="_Toc21560"/>
    </w:p>
    <w:p w14:paraId="283B0E9B">
      <w:pPr>
        <w:pStyle w:val="3"/>
        <w:adjustRightInd w:val="0"/>
        <w:snapToGrid w:val="0"/>
        <w:spacing w:line="588" w:lineRule="exact"/>
        <w:ind w:firstLineChars="0"/>
        <w:jc w:val="both"/>
        <w:rPr>
          <w:rFonts w:hint="eastAsia" w:ascii="Times New Roman" w:hAnsi="Times New Roman" w:eastAsia="仿宋" w:cs="Times New Roman"/>
          <w:b w:val="0"/>
          <w:bCs w:val="0"/>
          <w:color w:val="auto"/>
          <w:sz w:val="32"/>
          <w:szCs w:val="32"/>
          <w:highlight w:val="none"/>
        </w:rPr>
      </w:pPr>
      <w:bookmarkStart w:id="275" w:name="_Toc2132"/>
      <w:bookmarkStart w:id="276" w:name="_Toc8590"/>
      <w:bookmarkStart w:id="277" w:name="_Toc13378"/>
      <w:bookmarkStart w:id="278" w:name="_Toc2059345018"/>
      <w:bookmarkStart w:id="279" w:name="_Toc577"/>
      <w:bookmarkStart w:id="280" w:name="_Toc1890589063"/>
      <w:bookmarkStart w:id="281" w:name="_Toc8480"/>
      <w:bookmarkStart w:id="282" w:name="_Toc5550"/>
      <w:bookmarkStart w:id="283" w:name="_Toc6244"/>
      <w:bookmarkStart w:id="284" w:name="_Toc15587"/>
      <w:bookmarkStart w:id="285" w:name="_Toc29978"/>
      <w:bookmarkStart w:id="286" w:name="_Toc2039548155"/>
      <w:r>
        <w:rPr>
          <w:rFonts w:hint="eastAsia" w:ascii="黑体" w:hAnsi="黑体" w:eastAsia="黑体" w:cs="黑体"/>
          <w:b w:val="0"/>
          <w:bCs w:val="0"/>
          <w:color w:val="auto"/>
          <w:sz w:val="32"/>
          <w:szCs w:val="32"/>
          <w:highlight w:val="none"/>
        </w:rPr>
        <w:t>附件</w:t>
      </w:r>
      <w:r>
        <w:rPr>
          <w:rFonts w:hint="eastAsia" w:ascii="Times New Roman" w:hAnsi="Times New Roman" w:eastAsia="仿宋" w:cs="Times New Roman"/>
          <w:b w:val="0"/>
          <w:bCs w:val="0"/>
          <w:color w:val="auto"/>
          <w:sz w:val="32"/>
          <w:szCs w:val="32"/>
          <w:highlight w:val="none"/>
        </w:rPr>
        <w:t xml:space="preserve"> 名词解释</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404AE70D">
      <w:pPr>
        <w:numPr>
          <w:ilvl w:val="0"/>
          <w:numId w:val="7"/>
        </w:numPr>
        <w:adjustRightInd w:val="0"/>
        <w:snapToGrid w:val="0"/>
        <w:spacing w:line="588" w:lineRule="exact"/>
        <w:ind w:firstLine="640" w:firstLineChars="200"/>
        <w:jc w:val="both"/>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i w:val="0"/>
          <w:iCs w:val="0"/>
          <w:caps w:val="0"/>
          <w:color w:val="auto"/>
          <w:spacing w:val="0"/>
          <w:sz w:val="32"/>
          <w:szCs w:val="32"/>
          <w:highlight w:val="none"/>
          <w:shd w:val="clear"/>
        </w:rPr>
        <w:t>新型</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Hans"/>
        </w:rPr>
        <w:t>经营</w:t>
      </w:r>
      <w:r>
        <w:rPr>
          <w:rFonts w:hint="eastAsia" w:ascii="Times New Roman" w:hAnsi="Times New Roman" w:eastAsia="方正仿宋_GBK" w:cs="Times New Roman"/>
          <w:b w:val="0"/>
          <w:bCs w:val="0"/>
          <w:i w:val="0"/>
          <w:iCs w:val="0"/>
          <w:caps w:val="0"/>
          <w:color w:val="auto"/>
          <w:spacing w:val="0"/>
          <w:sz w:val="32"/>
          <w:szCs w:val="32"/>
          <w:highlight w:val="none"/>
          <w:shd w:val="clear"/>
        </w:rPr>
        <w:t>主体</w:t>
      </w:r>
    </w:p>
    <w:p w14:paraId="76CFD7F4">
      <w:pPr>
        <w:numPr>
          <w:ilvl w:val="0"/>
          <w:numId w:val="0"/>
        </w:numPr>
        <w:adjustRightInd w:val="0"/>
        <w:snapToGrid w:val="0"/>
        <w:spacing w:line="588" w:lineRule="exact"/>
        <w:ind w:firstLine="640" w:firstLineChars="200"/>
        <w:jc w:val="both"/>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i w:val="0"/>
          <w:iCs w:val="0"/>
          <w:caps w:val="0"/>
          <w:color w:val="auto"/>
          <w:spacing w:val="0"/>
          <w:sz w:val="32"/>
          <w:szCs w:val="32"/>
          <w:highlight w:val="none"/>
          <w:lang w:val="en-US" w:eastAsia="zh-CN"/>
        </w:rPr>
        <w:t>新型</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Hans"/>
        </w:rPr>
        <w:t>经营</w:t>
      </w:r>
      <w:r>
        <w:rPr>
          <w:rFonts w:hint="eastAsia" w:ascii="Times New Roman" w:hAnsi="Times New Roman" w:eastAsia="方正仿宋_GBK" w:cs="Times New Roman"/>
          <w:b w:val="0"/>
          <w:bCs w:val="0"/>
          <w:i w:val="0"/>
          <w:iCs w:val="0"/>
          <w:caps w:val="0"/>
          <w:color w:val="auto"/>
          <w:spacing w:val="0"/>
          <w:sz w:val="32"/>
          <w:szCs w:val="32"/>
          <w:highlight w:val="none"/>
          <w:lang w:val="en-US" w:eastAsia="zh-CN"/>
        </w:rPr>
        <w:t>主体是指具备电力、电量调节能力且具有新技术特征、新运营模式的配电环节各类资源，可分为单一技术类新型</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Hans"/>
        </w:rPr>
        <w:t>经营</w:t>
      </w:r>
      <w:r>
        <w:rPr>
          <w:rFonts w:hint="eastAsia" w:ascii="Times New Roman" w:hAnsi="Times New Roman" w:eastAsia="方正仿宋_GBK" w:cs="Times New Roman"/>
          <w:b w:val="0"/>
          <w:bCs w:val="0"/>
          <w:i w:val="0"/>
          <w:iCs w:val="0"/>
          <w:caps w:val="0"/>
          <w:color w:val="auto"/>
          <w:spacing w:val="0"/>
          <w:sz w:val="32"/>
          <w:szCs w:val="32"/>
          <w:highlight w:val="none"/>
          <w:lang w:val="en-US" w:eastAsia="zh-CN"/>
        </w:rPr>
        <w:t>主体和资源聚合类新型</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Hans"/>
        </w:rPr>
        <w:t>经营</w:t>
      </w:r>
      <w:r>
        <w:rPr>
          <w:rFonts w:hint="eastAsia" w:ascii="Times New Roman" w:hAnsi="Times New Roman" w:eastAsia="方正仿宋_GBK" w:cs="Times New Roman"/>
          <w:b w:val="0"/>
          <w:bCs w:val="0"/>
          <w:i w:val="0"/>
          <w:iCs w:val="0"/>
          <w:caps w:val="0"/>
          <w:color w:val="auto"/>
          <w:spacing w:val="0"/>
          <w:sz w:val="32"/>
          <w:szCs w:val="32"/>
          <w:highlight w:val="none"/>
          <w:lang w:val="en-US" w:eastAsia="zh-CN"/>
        </w:rPr>
        <w:t>主体。其中，单一技术类新型经营主体主要包括分布式光伏、分散式风电、储能等分布式电源和可调节负荷；资源聚合类新型经营主体主要包括虚拟电厂（负荷聚合商）和智能微电网，满足国家有关规定要求的源网荷储一体化项目可视作智能微电网。</w:t>
      </w:r>
    </w:p>
    <w:p w14:paraId="4500C4FF">
      <w:pPr>
        <w:numPr>
          <w:ilvl w:val="0"/>
          <w:numId w:val="7"/>
        </w:numPr>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按日连续开市</w:t>
      </w:r>
    </w:p>
    <w:p w14:paraId="351E7118">
      <w:pPr>
        <w:numPr>
          <w:ilvl w:val="-1"/>
          <w:numId w:val="0"/>
        </w:numPr>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shd w:val="clear" w:fill="auto"/>
          <w:lang w:val="en-US" w:eastAsia="zh-CN"/>
        </w:rPr>
      </w:pP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CN"/>
        </w:rPr>
        <w:t>按日</w:t>
      </w:r>
      <w:r>
        <w:rPr>
          <w:rFonts w:hint="eastAsia" w:ascii="Times New Roman" w:hAnsi="Times New Roman" w:eastAsia="方正仿宋_GBK" w:cs="Times New Roman"/>
          <w:b w:val="0"/>
          <w:bCs w:val="0"/>
          <w:i w:val="0"/>
          <w:iCs w:val="0"/>
          <w:caps w:val="0"/>
          <w:color w:val="auto"/>
          <w:spacing w:val="0"/>
          <w:sz w:val="32"/>
          <w:szCs w:val="32"/>
          <w:highlight w:val="none"/>
          <w:shd w:val="clear" w:fill="auto"/>
        </w:rPr>
        <w:t>连续开市是指</w:t>
      </w:r>
      <w:r>
        <w:rPr>
          <w:rFonts w:hint="eastAsia" w:ascii="Times New Roman" w:hAnsi="Times New Roman" w:eastAsia="方正仿宋_GBK" w:cs="Times New Roman"/>
          <w:b w:val="0"/>
          <w:bCs w:val="0"/>
          <w:i w:val="0"/>
          <w:iCs w:val="0"/>
          <w:caps w:val="0"/>
          <w:color w:val="auto"/>
          <w:spacing w:val="0"/>
          <w:sz w:val="32"/>
          <w:szCs w:val="32"/>
          <w:highlight w:val="none"/>
          <w:shd w:val="clear" w:fill="auto"/>
          <w:lang w:val="en-US" w:eastAsia="zh-CN"/>
        </w:rPr>
        <w:t>电力交易机构</w:t>
      </w:r>
      <w:r>
        <w:rPr>
          <w:rFonts w:ascii="Times New Roman" w:hAnsi="Times New Roman" w:eastAsia="方正仿宋_GBK" w:cs="Times New Roman"/>
          <w:b w:val="0"/>
          <w:bCs w:val="0"/>
          <w:i w:val="0"/>
          <w:iCs w:val="0"/>
          <w:caps w:val="0"/>
          <w:color w:val="auto"/>
          <w:spacing w:val="0"/>
          <w:sz w:val="32"/>
          <w:szCs w:val="32"/>
          <w:highlight w:val="none"/>
          <w:shd w:val="clear"/>
        </w:rPr>
        <w:t>在</w:t>
      </w:r>
      <w:r>
        <w:rPr>
          <w:rFonts w:hint="eastAsia" w:ascii="Times New Roman" w:hAnsi="Times New Roman" w:eastAsia="方正仿宋_GBK" w:cs="Times New Roman"/>
          <w:b w:val="0"/>
          <w:bCs w:val="0"/>
          <w:i w:val="0"/>
          <w:iCs w:val="0"/>
          <w:caps w:val="0"/>
          <w:color w:val="auto"/>
          <w:spacing w:val="0"/>
          <w:sz w:val="32"/>
          <w:szCs w:val="32"/>
          <w:highlight w:val="none"/>
          <w:shd w:val="clear"/>
        </w:rPr>
        <w:t>每日</w:t>
      </w:r>
      <w:r>
        <w:rPr>
          <w:rFonts w:hint="eastAsia" w:ascii="Times New Roman" w:hAnsi="Times New Roman" w:eastAsia="方正仿宋_GBK" w:cs="Times New Roman"/>
          <w:b w:val="0"/>
          <w:bCs w:val="0"/>
          <w:i w:val="0"/>
          <w:iCs w:val="0"/>
          <w:caps w:val="0"/>
          <w:color w:val="auto"/>
          <w:spacing w:val="0"/>
          <w:sz w:val="32"/>
          <w:szCs w:val="32"/>
          <w:highlight w:val="none"/>
          <w:shd w:val="clear"/>
          <w:lang w:eastAsia="zh-CN"/>
        </w:rPr>
        <w:t>（</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CN"/>
        </w:rPr>
        <w:t>工作日或自然日</w:t>
      </w:r>
      <w:r>
        <w:rPr>
          <w:rFonts w:hint="eastAsia" w:ascii="Times New Roman" w:hAnsi="Times New Roman" w:eastAsia="方正仿宋_GBK" w:cs="Times New Roman"/>
          <w:b w:val="0"/>
          <w:bCs w:val="0"/>
          <w:i w:val="0"/>
          <w:iCs w:val="0"/>
          <w:caps w:val="0"/>
          <w:color w:val="auto"/>
          <w:spacing w:val="0"/>
          <w:sz w:val="32"/>
          <w:szCs w:val="32"/>
          <w:highlight w:val="none"/>
          <w:shd w:val="clear"/>
          <w:lang w:eastAsia="zh-CN"/>
        </w:rPr>
        <w:t>）</w:t>
      </w:r>
      <w:r>
        <w:rPr>
          <w:rFonts w:ascii="Times New Roman" w:hAnsi="Times New Roman" w:eastAsia="方正仿宋_GBK" w:cs="Times New Roman"/>
          <w:b w:val="0"/>
          <w:bCs w:val="0"/>
          <w:i w:val="0"/>
          <w:iCs w:val="0"/>
          <w:caps w:val="0"/>
          <w:color w:val="auto"/>
          <w:spacing w:val="0"/>
          <w:sz w:val="32"/>
          <w:szCs w:val="32"/>
          <w:highlight w:val="none"/>
          <w:shd w:val="clear"/>
        </w:rPr>
        <w:t>持续</w:t>
      </w:r>
      <w:r>
        <w:rPr>
          <w:rFonts w:hint="eastAsia" w:ascii="Times New Roman" w:hAnsi="Times New Roman" w:eastAsia="方正仿宋_GBK" w:cs="Times New Roman"/>
          <w:b w:val="0"/>
          <w:bCs w:val="0"/>
          <w:i w:val="0"/>
          <w:iCs w:val="0"/>
          <w:caps w:val="0"/>
          <w:color w:val="auto"/>
          <w:spacing w:val="0"/>
          <w:sz w:val="32"/>
          <w:szCs w:val="32"/>
          <w:highlight w:val="none"/>
          <w:shd w:val="clear"/>
          <w:lang w:val="en-US" w:eastAsia="zh-CN"/>
        </w:rPr>
        <w:t>组织交易的活动</w:t>
      </w:r>
      <w:r>
        <w:rPr>
          <w:rFonts w:ascii="Times New Roman" w:hAnsi="Times New Roman" w:eastAsia="方正仿宋_GBK" w:cs="Times New Roman"/>
          <w:b w:val="0"/>
          <w:bCs w:val="0"/>
          <w:i w:val="0"/>
          <w:iCs w:val="0"/>
          <w:caps w:val="0"/>
          <w:color w:val="auto"/>
          <w:spacing w:val="0"/>
          <w:sz w:val="32"/>
          <w:szCs w:val="32"/>
          <w:highlight w:val="none"/>
          <w:shd w:val="clear" w:fill="auto"/>
        </w:rPr>
        <w:t>。</w:t>
      </w:r>
    </w:p>
    <w:p w14:paraId="3E2D5CAD">
      <w:pPr>
        <w:numPr>
          <w:ilvl w:val="0"/>
          <w:numId w:val="7"/>
        </w:numPr>
        <w:adjustRightInd w:val="0"/>
        <w:snapToGrid w:val="0"/>
        <w:spacing w:line="588" w:lineRule="exact"/>
        <w:ind w:firstLine="640" w:firstLineChars="200"/>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聚合单元</w:t>
      </w:r>
    </w:p>
    <w:p w14:paraId="7C6C2401">
      <w:pPr>
        <w:numPr>
          <w:ilvl w:val="0"/>
          <w:numId w:val="0"/>
        </w:numPr>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shd w:val="clear" w:fill="auto"/>
          <w:lang w:val="en-US" w:eastAsia="zh-CN" w:bidi="ar"/>
        </w:rPr>
      </w:pPr>
      <w:r>
        <w:rPr>
          <w:rFonts w:hint="eastAsia" w:ascii="Times New Roman" w:hAnsi="Times New Roman" w:eastAsia="方正仿宋_GBK" w:cs="Times New Roman"/>
          <w:b w:val="0"/>
          <w:bCs w:val="0"/>
          <w:color w:val="auto"/>
          <w:sz w:val="32"/>
          <w:szCs w:val="32"/>
          <w:highlight w:val="none"/>
          <w:shd w:val="clear" w:fill="auto"/>
          <w:lang w:val="en-US" w:eastAsia="zh-CN"/>
        </w:rPr>
        <w:t>聚合单元是指将一定范围内资源进行聚合，并整体参与市场的基本单元，包括单台虚拟机组、单个智能微电网或源</w:t>
      </w:r>
      <w:r>
        <w:rPr>
          <w:rFonts w:hint="eastAsia" w:ascii="Times New Roman" w:hAnsi="Times New Roman" w:eastAsia="方正仿宋_GBK" w:cs="Times New Roman"/>
          <w:b w:val="0"/>
          <w:bCs w:val="0"/>
          <w:color w:val="auto"/>
          <w:sz w:val="32"/>
          <w:szCs w:val="32"/>
          <w:highlight w:val="none"/>
          <w:shd w:val="clear" w:fill="auto"/>
          <w:lang w:val="en-US" w:eastAsia="zh-CN" w:bidi="ar"/>
        </w:rPr>
        <w:t>网荷储一体化项目等，每个聚合单元作为</w:t>
      </w:r>
      <w:r>
        <w:rPr>
          <w:rFonts w:hint="eastAsia" w:ascii="Times New Roman" w:hAnsi="Times New Roman" w:eastAsia="方正仿宋_GBK" w:cs="Times New Roman"/>
          <w:b w:val="0"/>
          <w:bCs w:val="0"/>
          <w:strike w:val="0"/>
          <w:color w:val="auto"/>
          <w:sz w:val="32"/>
          <w:szCs w:val="32"/>
          <w:highlight w:val="none"/>
          <w:shd w:val="clear" w:fill="auto"/>
          <w:lang w:val="en-US" w:eastAsia="zh-CN" w:bidi="ar"/>
        </w:rPr>
        <w:t>整体</w:t>
      </w:r>
      <w:r>
        <w:rPr>
          <w:rFonts w:hint="eastAsia" w:ascii="Times New Roman" w:hAnsi="Times New Roman" w:eastAsia="方正仿宋_GBK" w:cs="Times New Roman"/>
          <w:b w:val="0"/>
          <w:bCs w:val="0"/>
          <w:color w:val="auto"/>
          <w:sz w:val="32"/>
          <w:szCs w:val="32"/>
          <w:highlight w:val="none"/>
          <w:shd w:val="clear" w:fill="auto"/>
          <w:lang w:val="en-US" w:eastAsia="zh-CN" w:bidi="ar"/>
        </w:rPr>
        <w:t>参与市场。</w:t>
      </w:r>
    </w:p>
    <w:p w14:paraId="1F707027">
      <w:pPr>
        <w:numPr>
          <w:ilvl w:val="0"/>
          <w:numId w:val="7"/>
        </w:numPr>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交易序列</w:t>
      </w:r>
    </w:p>
    <w:p w14:paraId="6EF97C05">
      <w:pPr>
        <w:numPr>
          <w:ilvl w:val="0"/>
          <w:numId w:val="0"/>
        </w:numPr>
        <w:adjustRightInd w:val="0"/>
        <w:snapToGrid w:val="0"/>
        <w:spacing w:line="588" w:lineRule="exact"/>
        <w:ind w:firstLine="640" w:firstLineChars="200"/>
        <w:rPr>
          <w:rFonts w:hint="default" w:ascii="Times New Roman" w:hAnsi="Times New Roman" w:eastAsia="方正仿宋_GBK" w:cs="Times New Roman"/>
          <w:b w:val="0"/>
          <w:bCs w:val="0"/>
          <w:color w:val="auto"/>
          <w:sz w:val="32"/>
          <w:szCs w:val="32"/>
          <w:highlight w:val="none"/>
          <w:lang w:val="en-US" w:eastAsia="zh"/>
        </w:rPr>
      </w:pPr>
      <w:r>
        <w:rPr>
          <w:rFonts w:hint="default" w:ascii="Times New Roman" w:hAnsi="Times New Roman" w:eastAsia="方正仿宋_GBK" w:cs="Times New Roman"/>
          <w:b w:val="0"/>
          <w:bCs w:val="0"/>
          <w:color w:val="auto"/>
          <w:sz w:val="32"/>
          <w:szCs w:val="32"/>
          <w:highlight w:val="none"/>
          <w:lang w:val="en-US" w:eastAsia="zh"/>
        </w:rPr>
        <w:t>交易序列是</w:t>
      </w:r>
      <w:r>
        <w:rPr>
          <w:rFonts w:hint="default" w:ascii="Times New Roman" w:hAnsi="Times New Roman" w:eastAsia="方正仿宋_GBK" w:cs="Times New Roman"/>
          <w:b w:val="0"/>
          <w:bCs w:val="0"/>
          <w:color w:val="auto"/>
          <w:sz w:val="32"/>
          <w:szCs w:val="32"/>
          <w:highlight w:val="none"/>
          <w:lang w:val="en-US" w:eastAsia="zh"/>
        </w:rPr>
        <w:t>指</w:t>
      </w:r>
      <w:r>
        <w:rPr>
          <w:rFonts w:hint="eastAsia" w:ascii="Times New Roman" w:hAnsi="Times New Roman" w:eastAsia="方正仿宋_GBK" w:cs="Times New Roman"/>
          <w:b w:val="0"/>
          <w:bCs w:val="0"/>
          <w:color w:val="auto"/>
          <w:sz w:val="32"/>
          <w:szCs w:val="32"/>
          <w:highlight w:val="none"/>
          <w:lang w:val="en-US" w:eastAsia="zh-CN"/>
        </w:rPr>
        <w:t>由电力交易机构在电力交易平台中，</w:t>
      </w:r>
      <w:r>
        <w:rPr>
          <w:rFonts w:hint="default" w:ascii="Times New Roman" w:hAnsi="Times New Roman" w:eastAsia="方正仿宋_GBK" w:cs="Times New Roman"/>
          <w:b w:val="0"/>
          <w:bCs w:val="0"/>
          <w:color w:val="auto"/>
          <w:sz w:val="32"/>
          <w:szCs w:val="32"/>
          <w:highlight w:val="none"/>
          <w:lang w:val="en-US" w:eastAsia="zh"/>
        </w:rPr>
        <w:t>按照不同</w:t>
      </w:r>
      <w:r>
        <w:rPr>
          <w:rFonts w:hint="eastAsia" w:ascii="Times New Roman" w:hAnsi="Times New Roman" w:eastAsia="方正仿宋_GBK" w:cs="Times New Roman"/>
          <w:b w:val="0"/>
          <w:bCs w:val="0"/>
          <w:color w:val="auto"/>
          <w:sz w:val="32"/>
          <w:szCs w:val="32"/>
          <w:highlight w:val="none"/>
          <w:lang w:val="en-US" w:eastAsia="zh-CN"/>
        </w:rPr>
        <w:t>交易方式</w:t>
      </w:r>
      <w:r>
        <w:rPr>
          <w:rFonts w:hint="default" w:ascii="Times New Roman" w:hAnsi="Times New Roman" w:eastAsia="方正仿宋_GBK" w:cs="Times New Roman"/>
          <w:b w:val="0"/>
          <w:bCs w:val="0"/>
          <w:color w:val="auto"/>
          <w:sz w:val="32"/>
          <w:szCs w:val="32"/>
          <w:highlight w:val="none"/>
          <w:lang w:val="en-US" w:eastAsia="zh"/>
        </w:rPr>
        <w:t>、不同</w:t>
      </w:r>
      <w:r>
        <w:rPr>
          <w:rFonts w:hint="eastAsia" w:ascii="Times New Roman" w:hAnsi="Times New Roman" w:eastAsia="方正仿宋_GBK" w:cs="Times New Roman"/>
          <w:b w:val="0"/>
          <w:bCs w:val="0"/>
          <w:color w:val="auto"/>
          <w:sz w:val="32"/>
          <w:szCs w:val="32"/>
          <w:highlight w:val="none"/>
          <w:lang w:val="en-US" w:eastAsia="zh-CN"/>
        </w:rPr>
        <w:t>交易执行</w:t>
      </w:r>
      <w:r>
        <w:rPr>
          <w:rFonts w:hint="default" w:ascii="Times New Roman" w:hAnsi="Times New Roman" w:eastAsia="方正仿宋_GBK" w:cs="Times New Roman"/>
          <w:b w:val="0"/>
          <w:bCs w:val="0"/>
          <w:color w:val="auto"/>
          <w:sz w:val="32"/>
          <w:szCs w:val="32"/>
          <w:highlight w:val="none"/>
          <w:lang w:val="en-US" w:eastAsia="zh"/>
        </w:rPr>
        <w:t>周期</w:t>
      </w:r>
      <w:r>
        <w:rPr>
          <w:rFonts w:hint="eastAsia" w:ascii="Times New Roman" w:hAnsi="Times New Roman" w:eastAsia="方正仿宋_GBK" w:cs="Times New Roman"/>
          <w:b w:val="0"/>
          <w:bCs w:val="0"/>
          <w:color w:val="auto"/>
          <w:sz w:val="32"/>
          <w:szCs w:val="32"/>
          <w:highlight w:val="none"/>
          <w:lang w:val="en-US" w:eastAsia="zh-CN"/>
        </w:rPr>
        <w:t>等要素建立的</w:t>
      </w:r>
      <w:r>
        <w:rPr>
          <w:rFonts w:hint="default" w:ascii="Times New Roman" w:hAnsi="Times New Roman" w:eastAsia="方正仿宋_GBK" w:cs="Times New Roman"/>
          <w:b w:val="0"/>
          <w:bCs w:val="0"/>
          <w:color w:val="auto"/>
          <w:sz w:val="32"/>
          <w:szCs w:val="32"/>
          <w:highlight w:val="none"/>
          <w:lang w:val="en-US" w:eastAsia="zh"/>
        </w:rPr>
        <w:t>交易</w:t>
      </w:r>
      <w:r>
        <w:rPr>
          <w:rFonts w:hint="eastAsia" w:ascii="Times New Roman" w:hAnsi="Times New Roman" w:eastAsia="方正仿宋_GBK" w:cs="Times New Roman"/>
          <w:b w:val="0"/>
          <w:bCs w:val="0"/>
          <w:color w:val="auto"/>
          <w:sz w:val="32"/>
          <w:szCs w:val="32"/>
          <w:highlight w:val="none"/>
          <w:lang w:val="en-US" w:eastAsia="zh-CN"/>
        </w:rPr>
        <w:t>组织集合</w:t>
      </w:r>
      <w:r>
        <w:rPr>
          <w:rFonts w:hint="default" w:ascii="Times New Roman" w:hAnsi="Times New Roman" w:eastAsia="方正仿宋_GBK" w:cs="Times New Roman"/>
          <w:b w:val="0"/>
          <w:bCs w:val="0"/>
          <w:color w:val="auto"/>
          <w:sz w:val="32"/>
          <w:szCs w:val="32"/>
          <w:highlight w:val="none"/>
          <w:lang w:val="en-US" w:eastAsia="zh"/>
        </w:rPr>
        <w:t>。</w:t>
      </w:r>
    </w:p>
    <w:p w14:paraId="6F8D3F96">
      <w:pPr>
        <w:pageBreakBefore w:val="0"/>
        <w:numPr>
          <w:ilvl w:val="0"/>
          <w:numId w:val="7"/>
        </w:numPr>
        <w:kinsoku/>
        <w:wordWrap/>
        <w:overflowPunct/>
        <w:topLinePunct w:val="0"/>
        <w:autoSpaceDN/>
        <w:bidi w:val="0"/>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集中竞价交易</w:t>
      </w:r>
    </w:p>
    <w:p w14:paraId="2EDAC939">
      <w:pPr>
        <w:pageBreakBefore w:val="0"/>
        <w:numPr>
          <w:ilvl w:val="-1"/>
          <w:numId w:val="0"/>
        </w:numPr>
        <w:kinsoku/>
        <w:wordWrap/>
        <w:overflowPunct/>
        <w:topLinePunct w:val="0"/>
        <w:autoSpaceDN/>
        <w:bidi w:val="0"/>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eastAsia="zh"/>
        </w:rPr>
        <w:t>集中竞价交易</w:t>
      </w:r>
      <w:r>
        <w:rPr>
          <w:rFonts w:hint="eastAsia" w:ascii="Times New Roman" w:hAnsi="Times New Roman" w:eastAsia="方正仿宋_GBK" w:cs="Times New Roman"/>
          <w:b w:val="0"/>
          <w:bCs w:val="0"/>
          <w:color w:val="auto"/>
          <w:sz w:val="32"/>
          <w:szCs w:val="32"/>
          <w:highlight w:val="none"/>
          <w:lang w:eastAsia="zh-CN"/>
        </w:rPr>
        <w:t>是</w:t>
      </w:r>
      <w:r>
        <w:rPr>
          <w:rFonts w:hint="default" w:ascii="Times New Roman" w:hAnsi="Times New Roman" w:eastAsia="方正仿宋_GBK" w:cs="Times New Roman"/>
          <w:b w:val="0"/>
          <w:bCs w:val="0"/>
          <w:color w:val="auto"/>
          <w:sz w:val="32"/>
          <w:szCs w:val="32"/>
          <w:highlight w:val="none"/>
          <w:lang w:eastAsia="zh"/>
        </w:rPr>
        <w:t>指针对已明确时段、数量、单位、执行周期等要素的电力产品或服务，经营主体等在规定截止时间前集中申报价格，电力交易平台汇总经营主体等提交的交易申报信息</w:t>
      </w:r>
      <w:r>
        <w:rPr>
          <w:rFonts w:hint="default" w:ascii="Times New Roman" w:hAnsi="Times New Roman" w:eastAsia="方正仿宋_GBK" w:cs="Times New Roman"/>
          <w:b w:val="0"/>
          <w:bCs w:val="0"/>
          <w:color w:val="auto"/>
          <w:sz w:val="32"/>
          <w:szCs w:val="32"/>
          <w:highlight w:val="none"/>
          <w:lang w:val="en-US" w:eastAsia="zh-CN"/>
        </w:rPr>
        <w:t>进行</w:t>
      </w:r>
      <w:r>
        <w:rPr>
          <w:rFonts w:hint="default" w:ascii="Times New Roman" w:hAnsi="Times New Roman" w:eastAsia="方正仿宋_GBK" w:cs="Times New Roman"/>
          <w:b w:val="0"/>
          <w:bCs w:val="0"/>
          <w:color w:val="auto"/>
          <w:sz w:val="32"/>
          <w:szCs w:val="32"/>
          <w:highlight w:val="none"/>
          <w:lang w:eastAsia="zh"/>
        </w:rPr>
        <w:t>统一</w:t>
      </w:r>
      <w:r>
        <w:rPr>
          <w:rFonts w:hint="default" w:ascii="Times New Roman" w:hAnsi="Times New Roman" w:eastAsia="方正仿宋_GBK" w:cs="Times New Roman"/>
          <w:b w:val="0"/>
          <w:bCs w:val="0"/>
          <w:color w:val="auto"/>
          <w:sz w:val="32"/>
          <w:szCs w:val="32"/>
          <w:highlight w:val="none"/>
          <w:lang w:val="en-US" w:eastAsia="zh-CN"/>
        </w:rPr>
        <w:t>边际</w:t>
      </w:r>
      <w:r>
        <w:rPr>
          <w:rFonts w:hint="default" w:ascii="Times New Roman" w:hAnsi="Times New Roman" w:eastAsia="方正仿宋_GBK" w:cs="Times New Roman"/>
          <w:b w:val="0"/>
          <w:bCs w:val="0"/>
          <w:color w:val="auto"/>
          <w:sz w:val="32"/>
          <w:szCs w:val="32"/>
          <w:highlight w:val="none"/>
          <w:lang w:eastAsia="zh"/>
        </w:rPr>
        <w:t>出清</w:t>
      </w:r>
      <w:r>
        <w:rPr>
          <w:rFonts w:hint="eastAsia" w:ascii="Times New Roman" w:hAnsi="Times New Roman" w:eastAsia="方正仿宋_GBK" w:cs="Times New Roman"/>
          <w:b w:val="0"/>
          <w:bCs w:val="0"/>
          <w:color w:val="auto"/>
          <w:sz w:val="32"/>
          <w:szCs w:val="32"/>
          <w:highlight w:val="none"/>
        </w:rPr>
        <w:t>。</w:t>
      </w:r>
    </w:p>
    <w:p w14:paraId="75A38679">
      <w:pPr>
        <w:pageBreakBefore w:val="0"/>
        <w:numPr>
          <w:ilvl w:val="0"/>
          <w:numId w:val="7"/>
        </w:numPr>
        <w:kinsoku/>
        <w:wordWrap/>
        <w:overflowPunct/>
        <w:topLinePunct w:val="0"/>
        <w:autoSpaceDN/>
        <w:bidi w:val="0"/>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集中撮合交易</w:t>
      </w:r>
    </w:p>
    <w:p w14:paraId="7861682D">
      <w:pPr>
        <w:pageBreakBefore w:val="0"/>
        <w:numPr>
          <w:ilvl w:val="-1"/>
          <w:numId w:val="0"/>
        </w:numPr>
        <w:kinsoku/>
        <w:wordWrap/>
        <w:overflowPunct/>
        <w:topLinePunct w:val="0"/>
        <w:autoSpaceDN/>
        <w:bidi w:val="0"/>
        <w:adjustRightInd w:val="0"/>
        <w:snapToGrid w:val="0"/>
        <w:spacing w:line="588" w:lineRule="exact"/>
        <w:ind w:firstLine="640" w:firstLineChars="200"/>
        <w:rPr>
          <w:rFonts w:hint="default" w:ascii="Times New Roman" w:hAnsi="Times New Roman" w:eastAsia="方正仿宋_GBK" w:cs="Times New Roman"/>
          <w:b w:val="0"/>
          <w:bCs w:val="0"/>
          <w:color w:val="auto"/>
          <w:sz w:val="32"/>
          <w:szCs w:val="32"/>
          <w:highlight w:val="none"/>
          <w:lang w:eastAsia="zh"/>
        </w:rPr>
      </w:pPr>
      <w:r>
        <w:rPr>
          <w:rFonts w:hint="default" w:ascii="Times New Roman" w:hAnsi="Times New Roman" w:eastAsia="方正仿宋_GBK" w:cs="Times New Roman"/>
          <w:b w:val="0"/>
          <w:bCs w:val="0"/>
          <w:color w:val="auto"/>
          <w:sz w:val="32"/>
          <w:szCs w:val="32"/>
          <w:highlight w:val="none"/>
          <w:lang w:val="en-US" w:eastAsia="zh"/>
        </w:rPr>
        <w:t>集中撮合交易</w:t>
      </w:r>
      <w:r>
        <w:rPr>
          <w:rFonts w:hint="default" w:ascii="Times New Roman" w:hAnsi="Times New Roman" w:eastAsia="方正仿宋_GBK" w:cs="Times New Roman"/>
          <w:b w:val="0"/>
          <w:bCs w:val="0"/>
          <w:color w:val="auto"/>
          <w:sz w:val="32"/>
          <w:szCs w:val="32"/>
          <w:highlight w:val="none"/>
          <w:lang w:val="en-US" w:eastAsia="zh"/>
        </w:rPr>
        <w:t>是</w:t>
      </w:r>
      <w:r>
        <w:rPr>
          <w:rFonts w:hint="default" w:ascii="Times New Roman" w:hAnsi="Times New Roman" w:eastAsia="方正仿宋_GBK" w:cs="Times New Roman"/>
          <w:b w:val="0"/>
          <w:bCs w:val="0"/>
          <w:color w:val="auto"/>
          <w:sz w:val="32"/>
          <w:szCs w:val="32"/>
          <w:highlight w:val="none"/>
          <w:lang w:eastAsia="zh"/>
        </w:rPr>
        <w:t>指</w:t>
      </w:r>
      <w:r>
        <w:rPr>
          <w:rFonts w:hint="default" w:ascii="Times New Roman" w:hAnsi="Times New Roman" w:eastAsia="方正仿宋_GBK" w:cs="Times New Roman"/>
          <w:b w:val="0"/>
          <w:bCs w:val="0"/>
          <w:color w:val="auto"/>
          <w:sz w:val="32"/>
          <w:szCs w:val="32"/>
          <w:highlight w:val="none"/>
          <w:lang w:val="en-US" w:eastAsia="zh"/>
        </w:rPr>
        <w:t>针</w:t>
      </w:r>
      <w:r>
        <w:rPr>
          <w:rFonts w:hint="default" w:ascii="Times New Roman" w:hAnsi="Times New Roman" w:eastAsia="方正仿宋_GBK" w:cs="Times New Roman"/>
          <w:b w:val="0"/>
          <w:bCs w:val="0"/>
          <w:color w:val="auto"/>
          <w:sz w:val="32"/>
          <w:szCs w:val="32"/>
          <w:highlight w:val="none"/>
          <w:lang w:eastAsia="zh"/>
        </w:rPr>
        <w:t>对已明确时段、数量、单位、执行周期等要素的电力产品或服务，经营主体等在规定截止时间前</w:t>
      </w:r>
      <w:r>
        <w:rPr>
          <w:rFonts w:hint="default" w:ascii="Times New Roman" w:hAnsi="Times New Roman" w:eastAsia="方正仿宋_GBK" w:cs="Times New Roman"/>
          <w:b w:val="0"/>
          <w:bCs w:val="0"/>
          <w:color w:val="auto"/>
          <w:sz w:val="32"/>
          <w:szCs w:val="32"/>
          <w:highlight w:val="none"/>
          <w:lang w:val="en-US" w:eastAsia="zh"/>
        </w:rPr>
        <w:t>统一</w:t>
      </w:r>
      <w:r>
        <w:rPr>
          <w:rFonts w:hint="default" w:ascii="Times New Roman" w:hAnsi="Times New Roman" w:eastAsia="方正仿宋_GBK" w:cs="Times New Roman"/>
          <w:b w:val="0"/>
          <w:bCs w:val="0"/>
          <w:color w:val="auto"/>
          <w:sz w:val="32"/>
          <w:szCs w:val="32"/>
          <w:highlight w:val="none"/>
          <w:lang w:eastAsia="zh"/>
        </w:rPr>
        <w:t>集中申报</w:t>
      </w:r>
      <w:r>
        <w:rPr>
          <w:rFonts w:hint="default" w:ascii="Times New Roman" w:hAnsi="Times New Roman" w:eastAsia="方正仿宋_GBK" w:cs="Times New Roman"/>
          <w:b w:val="0"/>
          <w:bCs w:val="0"/>
          <w:color w:val="auto"/>
          <w:sz w:val="32"/>
          <w:szCs w:val="32"/>
          <w:highlight w:val="none"/>
          <w:lang w:val="en-US" w:eastAsia="zh"/>
        </w:rPr>
        <w:t>信息</w:t>
      </w:r>
      <w:r>
        <w:rPr>
          <w:rFonts w:hint="default" w:ascii="Times New Roman" w:hAnsi="Times New Roman" w:eastAsia="方正仿宋_GBK" w:cs="Times New Roman"/>
          <w:b w:val="0"/>
          <w:bCs w:val="0"/>
          <w:color w:val="auto"/>
          <w:sz w:val="32"/>
          <w:szCs w:val="32"/>
          <w:highlight w:val="none"/>
          <w:lang w:eastAsia="zh"/>
        </w:rPr>
        <w:t>，电力交易平台汇总经营主体等提交的交易申报信息，</w:t>
      </w:r>
      <w:r>
        <w:rPr>
          <w:rFonts w:hint="default" w:ascii="Times New Roman" w:hAnsi="Times New Roman" w:eastAsia="方正仿宋_GBK" w:cs="Times New Roman"/>
          <w:b w:val="0"/>
          <w:bCs w:val="0"/>
          <w:color w:val="auto"/>
          <w:sz w:val="32"/>
          <w:szCs w:val="32"/>
          <w:highlight w:val="none"/>
          <w:lang w:eastAsia="zh"/>
        </w:rPr>
        <w:t>按照价格优先等原则进行撮合成交</w:t>
      </w:r>
      <w:r>
        <w:rPr>
          <w:rFonts w:hint="default" w:ascii="Times New Roman" w:hAnsi="Times New Roman" w:eastAsia="方正仿宋_GBK" w:cs="Times New Roman"/>
          <w:b w:val="0"/>
          <w:bCs w:val="0"/>
          <w:color w:val="auto"/>
          <w:sz w:val="32"/>
          <w:szCs w:val="32"/>
          <w:highlight w:val="none"/>
          <w:lang w:eastAsia="zh"/>
        </w:rPr>
        <w:t>。</w:t>
      </w:r>
    </w:p>
    <w:p w14:paraId="294AC682">
      <w:pPr>
        <w:pageBreakBefore w:val="0"/>
        <w:numPr>
          <w:ilvl w:val="0"/>
          <w:numId w:val="7"/>
        </w:numPr>
        <w:kinsoku/>
        <w:wordWrap/>
        <w:overflowPunct/>
        <w:topLinePunct w:val="0"/>
        <w:autoSpaceDN/>
        <w:bidi w:val="0"/>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滚动撮合交易</w:t>
      </w:r>
    </w:p>
    <w:p w14:paraId="3D022443">
      <w:pPr>
        <w:pageBreakBefore w:val="0"/>
        <w:numPr>
          <w:ilvl w:val="-1"/>
          <w:numId w:val="0"/>
        </w:numPr>
        <w:kinsoku/>
        <w:wordWrap/>
        <w:overflowPunct/>
        <w:topLinePunct w:val="0"/>
        <w:autoSpaceDN/>
        <w:bidi w:val="0"/>
        <w:adjustRightInd w:val="0"/>
        <w:snapToGrid w:val="0"/>
        <w:spacing w:line="588" w:lineRule="exact"/>
        <w:ind w:firstLine="640" w:firstLineChars="200"/>
        <w:rPr>
          <w:rFonts w:hint="default" w:ascii="Times New Roman" w:hAnsi="Times New Roman" w:eastAsia="方正仿宋_GBK" w:cs="Times New Roman"/>
          <w:b w:val="0"/>
          <w:bCs w:val="0"/>
          <w:color w:val="auto"/>
          <w:sz w:val="32"/>
          <w:szCs w:val="32"/>
          <w:highlight w:val="none"/>
          <w:lang w:eastAsia="zh"/>
        </w:rPr>
      </w:pPr>
      <w:r>
        <w:rPr>
          <w:rFonts w:hint="default" w:ascii="Times New Roman" w:hAnsi="Times New Roman" w:eastAsia="方正仿宋_GBK" w:cs="Times New Roman"/>
          <w:b w:val="0"/>
          <w:bCs w:val="0"/>
          <w:color w:val="auto"/>
          <w:sz w:val="32"/>
          <w:szCs w:val="32"/>
          <w:highlight w:val="none"/>
          <w:lang w:eastAsia="zh"/>
        </w:rPr>
        <w:t>滚动撮合交易是指针对已明确时段、数量、单位、执行周期等要素的电力产品或服务，在规定的交易起止时间内，经营主体等可以随时提交购电或者售电信息，电力交易平台</w:t>
      </w:r>
      <w:r>
        <w:rPr>
          <w:rFonts w:hint="default" w:ascii="Times New Roman" w:hAnsi="Times New Roman" w:eastAsia="方正仿宋_GBK" w:cs="Times New Roman"/>
          <w:b w:val="0"/>
          <w:bCs w:val="0"/>
          <w:color w:val="auto"/>
          <w:sz w:val="32"/>
          <w:szCs w:val="32"/>
          <w:highlight w:val="none"/>
          <w:lang w:eastAsia="zh-CN"/>
        </w:rPr>
        <w:t>依据申报顺序</w:t>
      </w:r>
      <w:r>
        <w:rPr>
          <w:rFonts w:hint="default" w:ascii="Times New Roman" w:hAnsi="Times New Roman" w:eastAsia="方正仿宋_GBK" w:cs="Times New Roman"/>
          <w:b w:val="0"/>
          <w:bCs w:val="0"/>
          <w:color w:val="auto"/>
          <w:sz w:val="32"/>
          <w:szCs w:val="32"/>
          <w:highlight w:val="none"/>
          <w:lang w:eastAsia="zh"/>
        </w:rPr>
        <w:t>进行滚动撮合</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
        </w:rPr>
        <w:t>按照</w:t>
      </w:r>
      <w:r>
        <w:rPr>
          <w:rFonts w:hint="default" w:ascii="Times New Roman" w:hAnsi="Times New Roman" w:eastAsia="方正仿宋_GBK" w:cs="Times New Roman"/>
          <w:b w:val="0"/>
          <w:bCs w:val="0"/>
          <w:color w:val="auto"/>
          <w:sz w:val="32"/>
          <w:szCs w:val="32"/>
          <w:highlight w:val="none"/>
          <w:lang w:eastAsia="zh-CN"/>
        </w:rPr>
        <w:t>对手方</w:t>
      </w:r>
      <w:r>
        <w:rPr>
          <w:rFonts w:hint="default" w:ascii="Times New Roman" w:hAnsi="Times New Roman" w:eastAsia="方正仿宋_GBK" w:cs="Times New Roman"/>
          <w:b w:val="0"/>
          <w:bCs w:val="0"/>
          <w:color w:val="auto"/>
          <w:sz w:val="32"/>
          <w:szCs w:val="32"/>
          <w:highlight w:val="none"/>
          <w:lang w:eastAsia="zh"/>
        </w:rPr>
        <w:t>价格优先</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eastAsia="zh"/>
        </w:rPr>
        <w:t>时间优先等原则成交。</w:t>
      </w:r>
    </w:p>
    <w:p w14:paraId="4C4A3764">
      <w:pPr>
        <w:pageBreakBefore w:val="0"/>
        <w:numPr>
          <w:ilvl w:val="0"/>
          <w:numId w:val="7"/>
        </w:numPr>
        <w:kinsoku/>
        <w:wordWrap/>
        <w:overflowPunct/>
        <w:topLinePunct w:val="0"/>
        <w:autoSpaceDN/>
        <w:bidi w:val="0"/>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eastAsia="zh-CN"/>
        </w:rPr>
        <w:t>挂牌交易</w:t>
      </w:r>
    </w:p>
    <w:p w14:paraId="598BAE04">
      <w:pPr>
        <w:pageBreakBefore w:val="0"/>
        <w:numPr>
          <w:ilvl w:val="-1"/>
          <w:numId w:val="0"/>
        </w:numPr>
        <w:kinsoku/>
        <w:wordWrap/>
        <w:overflowPunct/>
        <w:topLinePunct w:val="0"/>
        <w:autoSpaceDN/>
        <w:bidi w:val="0"/>
        <w:adjustRightInd w:val="0"/>
        <w:snapToGrid w:val="0"/>
        <w:spacing w:line="588" w:lineRule="exact"/>
        <w:ind w:firstLine="640" w:firstLineChars="200"/>
        <w:rPr>
          <w:rFonts w:hint="default" w:ascii="Times New Roman" w:hAnsi="Times New Roman" w:eastAsia="方正仿宋_GBK" w:cs="Times New Roman"/>
          <w:b w:val="0"/>
          <w:bCs w:val="0"/>
          <w:color w:val="auto"/>
          <w:sz w:val="32"/>
          <w:szCs w:val="32"/>
          <w:highlight w:val="none"/>
          <w:lang w:eastAsia="zh"/>
        </w:rPr>
      </w:pPr>
      <w:r>
        <w:rPr>
          <w:rFonts w:hint="default" w:ascii="Times New Roman" w:hAnsi="Times New Roman" w:eastAsia="方正仿宋_GBK" w:cs="Times New Roman"/>
          <w:b w:val="0"/>
          <w:bCs w:val="0"/>
          <w:color w:val="auto"/>
          <w:sz w:val="32"/>
          <w:szCs w:val="32"/>
          <w:highlight w:val="none"/>
          <w:lang w:eastAsia="zh"/>
        </w:rPr>
        <w:t>挂牌交易指经营主体等通过电力交易平台，将需求电量或者可供电量的数量和价格等信息对外发布要约，由符合资格要求的另一方提出接受该要约的申请。</w:t>
      </w:r>
      <w:r>
        <w:rPr>
          <w:rFonts w:hint="default" w:ascii="Times New Roman" w:hAnsi="Times New Roman" w:eastAsia="方正仿宋_GBK" w:cs="Times New Roman"/>
          <w:b w:val="0"/>
          <w:bCs w:val="0"/>
          <w:color w:val="auto"/>
          <w:sz w:val="32"/>
          <w:szCs w:val="32"/>
          <w:highlight w:val="none"/>
          <w:lang w:val="en-US" w:eastAsia="zh-CN"/>
        </w:rPr>
        <w:t>挂牌交易由电力产品或服务的卖方（或买方）一方挂牌，另一方摘牌；也可允许买卖两方在自身发用电能力范围内同步挂牌、摘牌；按照</w:t>
      </w:r>
      <w:r>
        <w:rPr>
          <w:rFonts w:hint="eastAsia" w:ascii="Times New Roman" w:hAnsi="Times New Roman" w:eastAsia="方正仿宋_GBK" w:cs="Times New Roman"/>
          <w:b w:val="0"/>
          <w:bCs w:val="0"/>
          <w:color w:val="auto"/>
          <w:sz w:val="32"/>
          <w:szCs w:val="32"/>
          <w:highlight w:val="none"/>
        </w:rPr>
        <w:t>摘牌</w:t>
      </w:r>
      <w:r>
        <w:rPr>
          <w:rFonts w:hint="default" w:ascii="Times New Roman" w:hAnsi="Times New Roman" w:eastAsia="方正仿宋_GBK" w:cs="Times New Roman"/>
          <w:b w:val="0"/>
          <w:bCs w:val="0"/>
          <w:color w:val="auto"/>
          <w:sz w:val="32"/>
          <w:szCs w:val="32"/>
          <w:highlight w:val="none"/>
          <w:lang w:val="en-US" w:eastAsia="zh-CN"/>
        </w:rPr>
        <w:t>情况成交</w:t>
      </w:r>
      <w:r>
        <w:rPr>
          <w:rFonts w:hint="default" w:ascii="Times New Roman" w:hAnsi="Times New Roman" w:eastAsia="方正仿宋_GBK" w:cs="Times New Roman"/>
          <w:b w:val="0"/>
          <w:bCs w:val="0"/>
          <w:color w:val="auto"/>
          <w:sz w:val="32"/>
          <w:szCs w:val="32"/>
          <w:highlight w:val="none"/>
          <w:lang w:eastAsia="zh"/>
        </w:rPr>
        <w:t>。</w:t>
      </w:r>
    </w:p>
    <w:p w14:paraId="7446D52E">
      <w:pPr>
        <w:numPr>
          <w:ilvl w:val="0"/>
          <w:numId w:val="7"/>
        </w:numPr>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绿色电力</w:t>
      </w:r>
    </w:p>
    <w:p w14:paraId="4613696F">
      <w:pPr>
        <w:adjustRightInd w:val="0"/>
        <w:snapToGrid w:val="0"/>
        <w:spacing w:line="588" w:lineRule="exact"/>
        <w:ind w:firstLine="640" w:firstLineChars="200"/>
        <w:rPr>
          <w:rFonts w:hint="eastAsia"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val="0"/>
          <w:bCs w:val="0"/>
          <w:color w:val="auto"/>
          <w:sz w:val="32"/>
          <w:szCs w:val="32"/>
          <w:highlight w:val="none"/>
        </w:rPr>
        <w:t>绿色电力是指符合国家有关政策要求的风电（含分散式风电和海上风电）、太阳能发电（含分布式光伏发电和光热发电）、常规水电、生物质发电、地热能发电、海洋能发电等已建档立卡的可再生能源发电项目所产生的全部电量。初期，参与绿色电力交易的可再生能源发电项目为风电、光伏发电项目，条件成熟时，可逐步扩大至符合条件的其他可再生能源</w:t>
      </w:r>
      <w:r>
        <w:rPr>
          <w:rFonts w:hint="eastAsia" w:ascii="Times New Roman" w:hAnsi="Times New Roman" w:eastAsia="方正仿宋_GBK" w:cs="Times New Roman"/>
          <w:b w:val="0"/>
          <w:bCs w:val="0"/>
          <w:color w:val="auto"/>
          <w:sz w:val="32"/>
          <w:szCs w:val="32"/>
          <w:highlight w:val="none"/>
          <w:lang w:eastAsia="zh-CN"/>
        </w:rPr>
        <w:t>。</w:t>
      </w:r>
    </w:p>
    <w:p w14:paraId="0A3E9FA8">
      <w:pPr>
        <w:numPr>
          <w:ilvl w:val="0"/>
          <w:numId w:val="7"/>
        </w:numPr>
        <w:adjustRightInd w:val="0"/>
        <w:snapToGrid w:val="0"/>
        <w:spacing w:line="588" w:lineRule="exact"/>
        <w:ind w:firstLine="640" w:firstLineChars="200"/>
        <w:jc w:val="both"/>
        <w:rPr>
          <w:rFonts w:hint="eastAsia" w:ascii="Times New Roman" w:hAnsi="Times New Roman" w:eastAsia="方正仿宋_GBK" w:cs="Times New Roman"/>
          <w:b w:val="0"/>
          <w:bCs w:val="0"/>
          <w:color w:val="auto"/>
          <w:sz w:val="32"/>
          <w:szCs w:val="32"/>
          <w:highlight w:val="none"/>
          <w:lang w:val="en-US" w:eastAsia="zh-CN"/>
        </w:rPr>
      </w:pPr>
      <w:bookmarkStart w:id="287" w:name="_Toc138113547"/>
      <w:bookmarkStart w:id="288" w:name="_Toc12590"/>
      <w:bookmarkStart w:id="289" w:name="_Toc1776190555"/>
      <w:bookmarkStart w:id="290" w:name="_Toc1502534431"/>
      <w:r>
        <w:rPr>
          <w:rFonts w:hint="eastAsia" w:ascii="Times New Roman" w:hAnsi="Times New Roman" w:eastAsia="方正仿宋_GBK" w:cs="Times New Roman"/>
          <w:b w:val="0"/>
          <w:bCs w:val="0"/>
          <w:color w:val="auto"/>
          <w:sz w:val="32"/>
          <w:szCs w:val="32"/>
          <w:highlight w:val="none"/>
          <w:lang w:val="en-US" w:eastAsia="zh-CN"/>
        </w:rPr>
        <w:t>电力市场风险类型</w:t>
      </w:r>
      <w:bookmarkEnd w:id="287"/>
      <w:bookmarkEnd w:id="288"/>
      <w:bookmarkEnd w:id="289"/>
      <w:bookmarkEnd w:id="290"/>
    </w:p>
    <w:p w14:paraId="58BC704F">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2"/>
          <w:sz w:val="32"/>
          <w:szCs w:val="32"/>
          <w:highlight w:val="none"/>
          <w:lang w:val="en-US" w:eastAsia="zh" w:bidi="ar"/>
        </w:rPr>
      </w:pPr>
      <w:r>
        <w:rPr>
          <w:rFonts w:hint="eastAsia" w:ascii="Times New Roman" w:hAnsi="Times New Roman" w:eastAsia="方正仿宋_GBK" w:cs="Times New Roman"/>
          <w:b w:val="0"/>
          <w:bCs w:val="0"/>
          <w:color w:val="auto"/>
          <w:kern w:val="2"/>
          <w:sz w:val="32"/>
          <w:szCs w:val="32"/>
          <w:highlight w:val="none"/>
          <w:lang w:val="en-US" w:eastAsia="zh-CN" w:bidi="ar"/>
        </w:rPr>
        <w:t>（1）</w:t>
      </w:r>
      <w:r>
        <w:rPr>
          <w:rFonts w:hint="default" w:ascii="Times New Roman" w:hAnsi="Times New Roman" w:eastAsia="方正仿宋_GBK" w:cs="Times New Roman"/>
          <w:b w:val="0"/>
          <w:bCs w:val="0"/>
          <w:color w:val="auto"/>
          <w:kern w:val="2"/>
          <w:sz w:val="32"/>
          <w:szCs w:val="32"/>
          <w:highlight w:val="none"/>
          <w:lang w:val="en-US" w:eastAsia="zh" w:bidi="ar"/>
        </w:rPr>
        <w:t>电力供需失衡风险</w:t>
      </w:r>
    </w:p>
    <w:p w14:paraId="05091CB5">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default" w:ascii="Times New Roman" w:hAnsi="Times New Roman" w:eastAsia="方正仿宋_GBK" w:cs="Times New Roman"/>
          <w:b w:val="0"/>
          <w:bCs w:val="0"/>
          <w:color w:val="auto"/>
          <w:kern w:val="2"/>
          <w:sz w:val="32"/>
          <w:szCs w:val="32"/>
          <w:highlight w:val="none"/>
          <w:lang w:val="en-US" w:eastAsia="zh" w:bidi="ar"/>
        </w:rPr>
      </w:pPr>
      <w:r>
        <w:rPr>
          <w:rFonts w:hint="default" w:ascii="Times New Roman" w:hAnsi="Times New Roman" w:eastAsia="方正仿宋_GBK" w:cs="Times New Roman"/>
          <w:b w:val="0"/>
          <w:bCs w:val="0"/>
          <w:color w:val="auto"/>
          <w:kern w:val="2"/>
          <w:sz w:val="32"/>
          <w:szCs w:val="32"/>
          <w:highlight w:val="none"/>
          <w:lang w:val="en-US" w:eastAsia="zh" w:bidi="ar"/>
        </w:rPr>
        <w:t>电力供需失衡风险指电力供应与需求大幅波动、超出正常预测偏差范围，影响电力系统供需平衡的风险。</w:t>
      </w:r>
    </w:p>
    <w:p w14:paraId="7B2C2C13">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（2）</w:t>
      </w:r>
      <w:r>
        <w:rPr>
          <w:rFonts w:hint="eastAsia" w:ascii="Times New Roman" w:hAnsi="Times New Roman" w:eastAsia="方正仿宋_GBK" w:cs="Times New Roman"/>
          <w:b w:val="0"/>
          <w:bCs w:val="0"/>
          <w:color w:val="auto"/>
          <w:kern w:val="2"/>
          <w:sz w:val="32"/>
          <w:szCs w:val="32"/>
          <w:highlight w:val="none"/>
          <w:lang w:val="en-US" w:eastAsia="zh-CN" w:bidi="ar"/>
        </w:rPr>
        <w:t>市场价格异常风险</w:t>
      </w:r>
    </w:p>
    <w:p w14:paraId="317756BA">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default" w:ascii="Times New Roman" w:hAnsi="Times New Roman" w:eastAsia="方正仿宋_GBK" w:cs="Times New Roman"/>
          <w:b w:val="0"/>
          <w:bCs w:val="0"/>
          <w:color w:val="auto"/>
          <w:kern w:val="2"/>
          <w:sz w:val="32"/>
          <w:szCs w:val="32"/>
          <w:highlight w:val="none"/>
          <w:lang w:val="en-US" w:eastAsia="zh" w:bidi="ar"/>
        </w:rPr>
      </w:pPr>
      <w:r>
        <w:rPr>
          <w:rFonts w:hint="default" w:ascii="Times New Roman" w:hAnsi="Times New Roman" w:eastAsia="方正仿宋_GBK" w:cs="Times New Roman"/>
          <w:b w:val="0"/>
          <w:bCs w:val="0"/>
          <w:color w:val="auto"/>
          <w:kern w:val="2"/>
          <w:sz w:val="32"/>
          <w:szCs w:val="32"/>
          <w:highlight w:val="none"/>
          <w:lang w:val="en-US" w:eastAsia="zh" w:bidi="ar"/>
        </w:rPr>
        <w:t xml:space="preserve">市场价格异常风险指某地区、时段市场价格持续偏高或偏低，波动范围或持续时间明显超过正常变化范围的风险。 </w:t>
      </w:r>
    </w:p>
    <w:p w14:paraId="591A7992">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（3）</w:t>
      </w:r>
      <w:r>
        <w:rPr>
          <w:rFonts w:hint="eastAsia" w:ascii="Times New Roman" w:hAnsi="Times New Roman" w:eastAsia="方正仿宋_GBK" w:cs="Times New Roman"/>
          <w:b w:val="0"/>
          <w:bCs w:val="0"/>
          <w:color w:val="auto"/>
          <w:sz w:val="32"/>
          <w:szCs w:val="32"/>
          <w:highlight w:val="none"/>
          <w:lang w:eastAsia="zh-CN" w:bidi="ar"/>
        </w:rPr>
        <w:t>不正当竞争</w:t>
      </w:r>
      <w:r>
        <w:rPr>
          <w:rFonts w:hint="eastAsia" w:ascii="Times New Roman" w:hAnsi="Times New Roman" w:eastAsia="方正仿宋_GBK" w:cs="Times New Roman"/>
          <w:b w:val="0"/>
          <w:bCs w:val="0"/>
          <w:color w:val="auto"/>
          <w:kern w:val="2"/>
          <w:sz w:val="32"/>
          <w:szCs w:val="32"/>
          <w:highlight w:val="none"/>
          <w:lang w:val="en-US" w:eastAsia="zh-CN" w:bidi="ar"/>
        </w:rPr>
        <w:t>风险</w:t>
      </w:r>
    </w:p>
    <w:p w14:paraId="16A8ED71">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default" w:ascii="Times New Roman" w:hAnsi="Times New Roman" w:eastAsia="方正仿宋_GBK" w:cs="Times New Roman"/>
          <w:b w:val="0"/>
          <w:bCs w:val="0"/>
          <w:color w:val="auto"/>
          <w:sz w:val="32"/>
          <w:szCs w:val="32"/>
          <w:highlight w:val="none"/>
          <w:lang w:eastAsia="zh" w:bidi="ar"/>
        </w:rPr>
      </w:pPr>
      <w:r>
        <w:rPr>
          <w:rFonts w:hint="default" w:ascii="Times New Roman" w:hAnsi="Times New Roman" w:eastAsia="方正仿宋_GBK" w:cs="Times New Roman"/>
          <w:b w:val="0"/>
          <w:bCs w:val="0"/>
          <w:color w:val="auto"/>
          <w:sz w:val="32"/>
          <w:szCs w:val="32"/>
          <w:highlight w:val="none"/>
          <w:lang w:eastAsia="zh" w:bidi="ar"/>
        </w:rPr>
        <w:t>不正当竞争</w:t>
      </w:r>
      <w:r>
        <w:rPr>
          <w:rFonts w:hint="default" w:ascii="Times New Roman" w:hAnsi="Times New Roman" w:eastAsia="方正仿宋_GBK" w:cs="Times New Roman"/>
          <w:b w:val="0"/>
          <w:bCs w:val="0"/>
          <w:color w:val="auto"/>
          <w:kern w:val="2"/>
          <w:sz w:val="32"/>
          <w:szCs w:val="32"/>
          <w:highlight w:val="none"/>
          <w:lang w:val="en-US" w:eastAsia="zh" w:bidi="ar"/>
        </w:rPr>
        <w:t>风险指经营主体</w:t>
      </w:r>
      <w:r>
        <w:rPr>
          <w:rFonts w:hint="default" w:ascii="Times New Roman" w:hAnsi="Times New Roman" w:eastAsia="方正仿宋_GBK" w:cs="Times New Roman"/>
          <w:b w:val="0"/>
          <w:bCs w:val="0"/>
          <w:color w:val="auto"/>
          <w:sz w:val="32"/>
          <w:szCs w:val="32"/>
          <w:highlight w:val="none"/>
          <w:lang w:eastAsia="zh" w:bidi="ar"/>
        </w:rPr>
        <w:t>违规行使市场力</w:t>
      </w:r>
      <w:r>
        <w:rPr>
          <w:rFonts w:hint="default" w:ascii="Times New Roman" w:hAnsi="Times New Roman" w:eastAsia="方正仿宋_GBK" w:cs="Times New Roman"/>
          <w:b w:val="0"/>
          <w:bCs w:val="0"/>
          <w:color w:val="auto"/>
          <w:kern w:val="2"/>
          <w:sz w:val="32"/>
          <w:szCs w:val="32"/>
          <w:highlight w:val="none"/>
          <w:lang w:val="en-US" w:eastAsia="zh" w:bidi="ar"/>
        </w:rPr>
        <w:t>操纵市场价格、持留容量、达成垄断协议等，</w:t>
      </w:r>
      <w:r>
        <w:rPr>
          <w:rFonts w:hint="default" w:ascii="Times New Roman" w:hAnsi="Times New Roman" w:eastAsia="方正仿宋_GBK" w:cs="Times New Roman"/>
          <w:b w:val="0"/>
          <w:bCs w:val="0"/>
          <w:color w:val="auto"/>
          <w:sz w:val="32"/>
          <w:szCs w:val="32"/>
          <w:highlight w:val="none"/>
          <w:lang w:eastAsia="zh" w:bidi="ar"/>
        </w:rPr>
        <w:t>或串通报价、哄抬价格，并严重影响交易结果的</w:t>
      </w:r>
      <w:r>
        <w:rPr>
          <w:rFonts w:hint="default" w:ascii="Times New Roman" w:hAnsi="Times New Roman" w:eastAsia="方正仿宋_GBK" w:cs="Times New Roman"/>
          <w:b w:val="0"/>
          <w:bCs w:val="0"/>
          <w:color w:val="auto"/>
          <w:kern w:val="2"/>
          <w:sz w:val="32"/>
          <w:szCs w:val="32"/>
          <w:highlight w:val="none"/>
          <w:lang w:val="en-US" w:eastAsia="zh" w:bidi="ar"/>
        </w:rPr>
        <w:t>风险。</w:t>
      </w:r>
    </w:p>
    <w:p w14:paraId="32C73A64">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（4）</w:t>
      </w:r>
      <w:r>
        <w:rPr>
          <w:rFonts w:hint="eastAsia" w:ascii="Times New Roman" w:hAnsi="Times New Roman" w:eastAsia="方正仿宋_GBK" w:cs="Times New Roman"/>
          <w:b w:val="0"/>
          <w:bCs w:val="0"/>
          <w:color w:val="auto"/>
          <w:kern w:val="2"/>
          <w:sz w:val="32"/>
          <w:szCs w:val="32"/>
          <w:highlight w:val="none"/>
          <w:lang w:val="en-US" w:eastAsia="zh-CN" w:bidi="ar"/>
        </w:rPr>
        <w:t>技术支持系统</w:t>
      </w:r>
      <w:r>
        <w:rPr>
          <w:rFonts w:hint="eastAsia" w:ascii="Times New Roman" w:hAnsi="Times New Roman" w:eastAsia="方正仿宋_GBK" w:cs="Times New Roman"/>
          <w:b w:val="0"/>
          <w:bCs w:val="0"/>
          <w:color w:val="auto"/>
          <w:sz w:val="32"/>
          <w:szCs w:val="32"/>
          <w:highlight w:val="none"/>
          <w:lang w:eastAsia="zh-CN" w:bidi="ar"/>
        </w:rPr>
        <w:t>运行异常</w:t>
      </w:r>
      <w:r>
        <w:rPr>
          <w:rFonts w:hint="eastAsia" w:ascii="Times New Roman" w:hAnsi="Times New Roman" w:eastAsia="方正仿宋_GBK" w:cs="Times New Roman"/>
          <w:b w:val="0"/>
          <w:bCs w:val="0"/>
          <w:color w:val="auto"/>
          <w:kern w:val="2"/>
          <w:sz w:val="32"/>
          <w:szCs w:val="32"/>
          <w:highlight w:val="none"/>
          <w:lang w:val="en-US" w:eastAsia="zh-CN" w:bidi="ar"/>
        </w:rPr>
        <w:t>风险</w:t>
      </w:r>
    </w:p>
    <w:p w14:paraId="21D6509E">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default" w:ascii="Times New Roman" w:hAnsi="Times New Roman" w:eastAsia="方正仿宋_GBK" w:cs="Times New Roman"/>
          <w:b w:val="0"/>
          <w:bCs w:val="0"/>
          <w:color w:val="auto"/>
          <w:kern w:val="2"/>
          <w:sz w:val="32"/>
          <w:szCs w:val="32"/>
          <w:highlight w:val="none"/>
          <w:lang w:val="en-US" w:eastAsia="zh" w:bidi="ar"/>
        </w:rPr>
      </w:pPr>
      <w:r>
        <w:rPr>
          <w:rFonts w:hint="default" w:ascii="Times New Roman" w:hAnsi="Times New Roman" w:eastAsia="方正仿宋_GBK" w:cs="Times New Roman"/>
          <w:b w:val="0"/>
          <w:bCs w:val="0"/>
          <w:color w:val="auto"/>
          <w:kern w:val="2"/>
          <w:sz w:val="32"/>
          <w:szCs w:val="32"/>
          <w:highlight w:val="none"/>
          <w:lang w:val="en-US" w:eastAsia="zh" w:bidi="ar"/>
        </w:rPr>
        <w:t>技术支持系统</w:t>
      </w:r>
      <w:r>
        <w:rPr>
          <w:rFonts w:hint="default" w:ascii="Times New Roman" w:hAnsi="Times New Roman" w:eastAsia="方正仿宋_GBK" w:cs="Times New Roman"/>
          <w:b w:val="0"/>
          <w:bCs w:val="0"/>
          <w:color w:val="auto"/>
          <w:sz w:val="32"/>
          <w:szCs w:val="32"/>
          <w:highlight w:val="none"/>
          <w:lang w:eastAsia="zh" w:bidi="ar"/>
        </w:rPr>
        <w:t>运行异常</w:t>
      </w:r>
      <w:r>
        <w:rPr>
          <w:rFonts w:hint="default" w:ascii="Times New Roman" w:hAnsi="Times New Roman" w:eastAsia="方正仿宋_GBK" w:cs="Times New Roman"/>
          <w:b w:val="0"/>
          <w:bCs w:val="0"/>
          <w:color w:val="auto"/>
          <w:kern w:val="2"/>
          <w:sz w:val="32"/>
          <w:szCs w:val="32"/>
          <w:highlight w:val="none"/>
          <w:lang w:val="en-US" w:eastAsia="zh" w:bidi="ar"/>
        </w:rPr>
        <w:t>风险指支撑电力市场的各类技术支持系统出现异常或不可用状态，或因黑客、恶意代码等攻击、干扰和破坏等行为，造成被攻击系统及其中数据的安全性、完整性和可用性被破坏，影响市场正常运行的风险。</w:t>
      </w:r>
    </w:p>
    <w:p w14:paraId="2CA7F89B">
      <w:pPr>
        <w:keepNext/>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（5）</w:t>
      </w:r>
      <w:r>
        <w:rPr>
          <w:rFonts w:hint="eastAsia" w:ascii="Times New Roman" w:hAnsi="Times New Roman" w:eastAsia="方正仿宋_GBK" w:cs="Times New Roman"/>
          <w:b w:val="0"/>
          <w:bCs w:val="0"/>
          <w:color w:val="auto"/>
          <w:sz w:val="32"/>
          <w:szCs w:val="32"/>
          <w:highlight w:val="none"/>
          <w:lang w:eastAsia="zh-CN" w:bidi="ar"/>
        </w:rPr>
        <w:t>合同违</w:t>
      </w:r>
      <w:r>
        <w:rPr>
          <w:rFonts w:hint="eastAsia" w:ascii="Times New Roman" w:hAnsi="Times New Roman" w:eastAsia="方正仿宋_GBK" w:cs="Times New Roman"/>
          <w:b w:val="0"/>
          <w:bCs w:val="0"/>
          <w:color w:val="auto"/>
          <w:kern w:val="2"/>
          <w:sz w:val="32"/>
          <w:szCs w:val="32"/>
          <w:highlight w:val="none"/>
          <w:lang w:val="en-US" w:eastAsia="zh-CN" w:bidi="ar"/>
        </w:rPr>
        <w:t>约风险</w:t>
      </w:r>
    </w:p>
    <w:p w14:paraId="050CB4BB">
      <w:pPr>
        <w:keepNext w:val="0"/>
        <w:keepLines w:val="0"/>
        <w:pageBreakBefore w:val="0"/>
        <w:widowControl/>
        <w:numPr>
          <w:ilvl w:val="-1"/>
          <w:numId w:val="0"/>
        </w:numPr>
        <w:suppressLineNumbers w:val="0"/>
        <w:kinsoku/>
        <w:wordWrap/>
        <w:overflowPunct/>
        <w:topLinePunct w:val="0"/>
        <w:autoSpaceDN/>
        <w:bidi w:val="0"/>
        <w:adjustRightInd w:val="0"/>
        <w:snapToGrid w:val="0"/>
        <w:spacing w:line="588" w:lineRule="exact"/>
        <w:ind w:firstLine="640" w:firstLineChars="200"/>
        <w:jc w:val="both"/>
        <w:rPr>
          <w:rFonts w:hint="default" w:ascii="Times New Roman" w:hAnsi="Times New Roman" w:eastAsia="方正仿宋_GBK" w:cs="Times New Roman"/>
          <w:b w:val="0"/>
          <w:bCs w:val="0"/>
          <w:color w:val="auto"/>
          <w:sz w:val="32"/>
          <w:szCs w:val="32"/>
          <w:highlight w:val="none"/>
          <w:lang w:eastAsia="zh" w:bidi="ar"/>
        </w:rPr>
      </w:pPr>
      <w:r>
        <w:rPr>
          <w:rFonts w:hint="default" w:ascii="Times New Roman" w:hAnsi="Times New Roman" w:eastAsia="方正仿宋_GBK" w:cs="Times New Roman"/>
          <w:b w:val="0"/>
          <w:bCs w:val="0"/>
          <w:color w:val="auto"/>
          <w:sz w:val="32"/>
          <w:szCs w:val="32"/>
          <w:highlight w:val="none"/>
          <w:lang w:eastAsia="zh" w:bidi="ar"/>
        </w:rPr>
        <w:t>合同违</w:t>
      </w:r>
      <w:r>
        <w:rPr>
          <w:rFonts w:hint="default" w:ascii="Times New Roman" w:hAnsi="Times New Roman" w:eastAsia="方正仿宋_GBK" w:cs="Times New Roman"/>
          <w:b w:val="0"/>
          <w:bCs w:val="0"/>
          <w:color w:val="auto"/>
          <w:kern w:val="2"/>
          <w:sz w:val="32"/>
          <w:szCs w:val="32"/>
          <w:highlight w:val="none"/>
          <w:lang w:val="en-US" w:eastAsia="zh" w:bidi="ar"/>
        </w:rPr>
        <w:t>约风险指经营主体失信、失去正常履约能力、存在争议或不可抗力等原因而不能正常履行已签订的电力中长期合同的风险。</w:t>
      </w:r>
    </w:p>
    <w:p w14:paraId="59359445">
      <w:pPr>
        <w:widowControl/>
        <w:numPr>
          <w:ilvl w:val="-1"/>
          <w:numId w:val="0"/>
        </w:numPr>
        <w:adjustRightInd w:val="0"/>
        <w:snapToGrid w:val="0"/>
        <w:spacing w:after="0" w:line="588" w:lineRule="exact"/>
        <w:ind w:firstLine="640" w:firstLineChars="200"/>
        <w:rPr>
          <w:rFonts w:hint="eastAsia" w:ascii="Times New Roman" w:hAnsi="Times New Roman" w:eastAsia="方正仿宋_GBK" w:cs="Times New Roman"/>
          <w:b w:val="0"/>
          <w:bCs w:val="0"/>
          <w:color w:val="auto"/>
          <w:kern w:val="2"/>
          <w:sz w:val="32"/>
          <w:szCs w:val="32"/>
          <w:highlight w:val="none"/>
          <w:lang w:val="en-US" w:eastAsia="zh-CN" w:bidi="ar"/>
        </w:rPr>
      </w:pPr>
      <w:r>
        <w:rPr>
          <w:rFonts w:hint="eastAsia" w:ascii="Times New Roman" w:hAnsi="Times New Roman" w:eastAsia="方正仿宋_GBK" w:cs="Times New Roman"/>
          <w:b w:val="0"/>
          <w:bCs w:val="0"/>
          <w:color w:val="auto"/>
          <w:kern w:val="2"/>
          <w:sz w:val="32"/>
          <w:szCs w:val="32"/>
          <w:highlight w:val="none"/>
          <w:lang w:val="en-US" w:eastAsia="zh-CN" w:bidi="ar"/>
        </w:rPr>
        <w:t>（6）</w:t>
      </w:r>
      <w:r>
        <w:rPr>
          <w:rFonts w:hint="eastAsia" w:ascii="Times New Roman" w:hAnsi="Times New Roman" w:eastAsia="方正仿宋_GBK" w:cs="Times New Roman"/>
          <w:b w:val="0"/>
          <w:bCs w:val="0"/>
          <w:color w:val="auto"/>
          <w:kern w:val="2"/>
          <w:sz w:val="32"/>
          <w:szCs w:val="32"/>
          <w:highlight w:val="none"/>
          <w:lang w:val="en-US" w:eastAsia="zh-CN" w:bidi="ar"/>
        </w:rPr>
        <w:t>其他市场风险</w:t>
      </w:r>
    </w:p>
    <w:p w14:paraId="7ED0C174">
      <w:pPr>
        <w:widowControl/>
        <w:numPr>
          <w:ilvl w:val="-1"/>
          <w:numId w:val="0"/>
        </w:numPr>
        <w:adjustRightInd w:val="0"/>
        <w:snapToGrid w:val="0"/>
        <w:spacing w:after="0" w:line="588" w:lineRule="exact"/>
        <w:ind w:firstLine="640" w:firstLineChars="200"/>
        <w:rPr>
          <w:rFonts w:hint="default" w:ascii="Times New Roman" w:hAnsi="Times New Roman" w:eastAsia="方正仿宋_GBK" w:cs="Times New Roman"/>
          <w:b w:val="0"/>
          <w:bCs w:val="0"/>
          <w:color w:val="auto"/>
          <w:sz w:val="32"/>
          <w:szCs w:val="32"/>
          <w:highlight w:val="none"/>
          <w:lang w:val="en-US" w:eastAsia="zh" w:bidi="ar"/>
        </w:rPr>
      </w:pPr>
      <w:r>
        <w:rPr>
          <w:rFonts w:hint="default" w:ascii="Times New Roman" w:hAnsi="Times New Roman" w:eastAsia="方正仿宋_GBK" w:cs="Times New Roman"/>
          <w:b w:val="0"/>
          <w:bCs w:val="0"/>
          <w:color w:val="auto"/>
          <w:kern w:val="2"/>
          <w:sz w:val="32"/>
          <w:szCs w:val="32"/>
          <w:highlight w:val="none"/>
          <w:lang w:val="en-US" w:eastAsia="zh" w:bidi="ar"/>
        </w:rPr>
        <w:t>其他市场风险指经营主体交易申报差错、滥用高频量化交易、提供虚假注册资料获取交易资格等，影响市场正常秩序的风险。</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275B7169-6D36-4A8B-92ED-31E9E57C7E84}"/>
  </w:font>
  <w:font w:name="宋体">
    <w:panose1 w:val="02010600030101010101"/>
    <w:charset w:val="86"/>
    <w:family w:val="auto"/>
    <w:pitch w:val="default"/>
    <w:sig w:usb0="00000003" w:usb1="288F0000" w:usb2="00000006" w:usb3="00000000" w:csb0="00040001" w:csb1="00000000"/>
    <w:embedRegular r:id="rId2" w:fontKey="{B5675D54-86F2-4635-B1D5-E5170A5B3E11}"/>
  </w:font>
  <w:font w:name="Wingdings">
    <w:panose1 w:val="05000000000000000000"/>
    <w:charset w:val="02"/>
    <w:family w:val="auto"/>
    <w:pitch w:val="default"/>
    <w:sig w:usb0="00000000" w:usb1="00000000" w:usb2="00000000" w:usb3="00000000" w:csb0="80000000" w:csb1="00000000"/>
    <w:embedRegular r:id="rId3" w:fontKey="{7AADB210-0A88-4BF2-8BC6-F02957E51DF5}"/>
  </w:font>
  <w:font w:name="Arial">
    <w:panose1 w:val="020B0604020202020204"/>
    <w:charset w:val="01"/>
    <w:family w:val="swiss"/>
    <w:pitch w:val="default"/>
    <w:sig w:usb0="E0002EFF" w:usb1="C000785B" w:usb2="00000009" w:usb3="00000000" w:csb0="400001FF" w:csb1="FFFF0000"/>
    <w:embedRegular r:id="rId4" w:fontKey="{4E8B1EDF-D8B2-4A82-940D-6706D75AFE4E}"/>
  </w:font>
  <w:font w:name="黑体">
    <w:panose1 w:val="02010609060101010101"/>
    <w:charset w:val="86"/>
    <w:family w:val="auto"/>
    <w:pitch w:val="default"/>
    <w:sig w:usb0="800002BF" w:usb1="38CF7CFA" w:usb2="00000016" w:usb3="00000000" w:csb0="00040001" w:csb1="00000000"/>
    <w:embedRegular r:id="rId5" w:fontKey="{0A0B046F-939F-469E-AF31-B02BC3140DBA}"/>
  </w:font>
  <w:font w:name="Courier New">
    <w:panose1 w:val="02070309020205020404"/>
    <w:charset w:val="01"/>
    <w:family w:val="modern"/>
    <w:pitch w:val="default"/>
    <w:sig w:usb0="E0002EFF" w:usb1="C0007843" w:usb2="00000009" w:usb3="00000000" w:csb0="400001FF" w:csb1="FFFF0000"/>
    <w:embedRegular r:id="rId6" w:fontKey="{654F8DC5-D3C0-411C-B0DE-A66CD41AFDA9}"/>
  </w:font>
  <w:font w:name="Symbol">
    <w:panose1 w:val="05050102010706020507"/>
    <w:charset w:val="02"/>
    <w:family w:val="roman"/>
    <w:pitch w:val="default"/>
    <w:sig w:usb0="00000000" w:usb1="00000000" w:usb2="00000000" w:usb3="00000000" w:csb0="80000000" w:csb1="00000000"/>
    <w:embedRegular r:id="rId7" w:fontKey="{A5EEA408-ABE9-44BF-876B-90D3B3E93F98}"/>
  </w:font>
  <w:font w:name="Calibri">
    <w:panose1 w:val="020F0502020204030204"/>
    <w:charset w:val="00"/>
    <w:family w:val="swiss"/>
    <w:pitch w:val="default"/>
    <w:sig w:usb0="E4002EFF" w:usb1="C000247B" w:usb2="00000009" w:usb3="00000000" w:csb0="200001FF" w:csb1="00000000"/>
    <w:embedRegular r:id="rId8" w:fontKey="{CD1730F6-811D-44DB-A8CE-03B26DBD3E04}"/>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9" w:fontKey="{BB27B621-2C30-4474-B1BC-8BD58110E004}"/>
  </w:font>
  <w:font w:name="仿宋">
    <w:panose1 w:val="02010609060101010101"/>
    <w:charset w:val="86"/>
    <w:family w:val="auto"/>
    <w:pitch w:val="default"/>
    <w:sig w:usb0="800002BF" w:usb1="38CF7CFA" w:usb2="00000016" w:usb3="00000000" w:csb0="00040001" w:csb1="00000000"/>
    <w:embedRegular r:id="rId10" w:fontKey="{0C92EEF6-353B-4C26-AB10-CEA8B716B44C}"/>
  </w:font>
  <w:font w:name="方正黑体_GBK">
    <w:altName w:val="微软雅黑"/>
    <w:panose1 w:val="0201060001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11" w:fontKey="{DDE3416C-185B-4676-8992-7AE8CAA93D6D}"/>
  </w:font>
  <w:font w:name="方正楷体_GBK">
    <w:panose1 w:val="02000000000000000000"/>
    <w:charset w:val="86"/>
    <w:family w:val="auto"/>
    <w:pitch w:val="default"/>
    <w:sig w:usb0="800002BF" w:usb1="38CF7CFA" w:usb2="00000016" w:usb3="00000000" w:csb0="00040000" w:csb1="00000000"/>
    <w:embedRegular r:id="rId12" w:fontKey="{21530B5A-4920-44D1-8C18-83B5958792BF}"/>
  </w:font>
  <w:font w:name="微软雅黑">
    <w:panose1 w:val="020B0503020204020204"/>
    <w:charset w:val="86"/>
    <w:family w:val="auto"/>
    <w:pitch w:val="default"/>
    <w:sig w:usb0="80000287" w:usb1="2ACF3C50" w:usb2="00000016" w:usb3="00000000" w:csb0="0004001F" w:csb1="00000000"/>
  </w:font>
  <w:font w:name="WPSEMBED1">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BD16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843E7">
                          <w:pPr>
                            <w:pStyle w:val="9"/>
                            <w:rPr>
                              <w:rFonts w:hint="eastAsia" w:ascii="仿宋_GB2312" w:hAnsi="仿宋_GB2312" w:eastAsia="仿宋_GB2312" w:cs="仿宋_GB2312"/>
                              <w:sz w:val="22"/>
                              <w:szCs w:val="36"/>
                              <w:lang w:eastAsia="zh-CN"/>
                            </w:rPr>
                          </w:pPr>
                          <w:r>
                            <w:rPr>
                              <w:rFonts w:hint="eastAsia" w:ascii="仿宋_GB2312" w:hAnsi="仿宋_GB2312" w:eastAsia="仿宋_GB2312" w:cs="仿宋_GB2312"/>
                              <w:sz w:val="22"/>
                              <w:szCs w:val="36"/>
                              <w:lang w:eastAsia="zh-CN"/>
                            </w:rPr>
                            <w:fldChar w:fldCharType="begin"/>
                          </w:r>
                          <w:r>
                            <w:rPr>
                              <w:rFonts w:hint="eastAsia" w:ascii="仿宋_GB2312" w:hAnsi="仿宋_GB2312" w:eastAsia="仿宋_GB2312" w:cs="仿宋_GB2312"/>
                              <w:sz w:val="22"/>
                              <w:szCs w:val="36"/>
                              <w:lang w:eastAsia="zh-CN"/>
                            </w:rPr>
                            <w:instrText xml:space="preserve"> PAGE  \* MERGEFORMAT </w:instrText>
                          </w:r>
                          <w:r>
                            <w:rPr>
                              <w:rFonts w:hint="eastAsia" w:ascii="仿宋_GB2312" w:hAnsi="仿宋_GB2312" w:eastAsia="仿宋_GB2312" w:cs="仿宋_GB2312"/>
                              <w:sz w:val="22"/>
                              <w:szCs w:val="36"/>
                              <w:lang w:eastAsia="zh-CN"/>
                            </w:rPr>
                            <w:fldChar w:fldCharType="separate"/>
                          </w:r>
                          <w:r>
                            <w:rPr>
                              <w:rFonts w:hint="eastAsia" w:ascii="仿宋_GB2312" w:hAnsi="仿宋_GB2312" w:eastAsia="仿宋_GB2312" w:cs="仿宋_GB2312"/>
                              <w:sz w:val="22"/>
                              <w:szCs w:val="36"/>
                              <w:lang w:eastAsia="zh-CN"/>
                            </w:rPr>
                            <w:t>1</w:t>
                          </w:r>
                          <w:r>
                            <w:rPr>
                              <w:rFonts w:hint="eastAsia" w:ascii="仿宋_GB2312" w:hAnsi="仿宋_GB2312" w:eastAsia="仿宋_GB2312" w:cs="仿宋_GB2312"/>
                              <w:sz w:val="22"/>
                              <w:szCs w:val="36"/>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0A843E7">
                    <w:pPr>
                      <w:pStyle w:val="9"/>
                      <w:rPr>
                        <w:rFonts w:hint="eastAsia" w:ascii="仿宋_GB2312" w:hAnsi="仿宋_GB2312" w:eastAsia="仿宋_GB2312" w:cs="仿宋_GB2312"/>
                        <w:sz w:val="22"/>
                        <w:szCs w:val="36"/>
                        <w:lang w:eastAsia="zh-CN"/>
                      </w:rPr>
                    </w:pPr>
                    <w:r>
                      <w:rPr>
                        <w:rFonts w:hint="eastAsia" w:ascii="仿宋_GB2312" w:hAnsi="仿宋_GB2312" w:eastAsia="仿宋_GB2312" w:cs="仿宋_GB2312"/>
                        <w:sz w:val="22"/>
                        <w:szCs w:val="36"/>
                        <w:lang w:eastAsia="zh-CN"/>
                      </w:rPr>
                      <w:fldChar w:fldCharType="begin"/>
                    </w:r>
                    <w:r>
                      <w:rPr>
                        <w:rFonts w:hint="eastAsia" w:ascii="仿宋_GB2312" w:hAnsi="仿宋_GB2312" w:eastAsia="仿宋_GB2312" w:cs="仿宋_GB2312"/>
                        <w:sz w:val="22"/>
                        <w:szCs w:val="36"/>
                        <w:lang w:eastAsia="zh-CN"/>
                      </w:rPr>
                      <w:instrText xml:space="preserve"> PAGE  \* MERGEFORMAT </w:instrText>
                    </w:r>
                    <w:r>
                      <w:rPr>
                        <w:rFonts w:hint="eastAsia" w:ascii="仿宋_GB2312" w:hAnsi="仿宋_GB2312" w:eastAsia="仿宋_GB2312" w:cs="仿宋_GB2312"/>
                        <w:sz w:val="22"/>
                        <w:szCs w:val="36"/>
                        <w:lang w:eastAsia="zh-CN"/>
                      </w:rPr>
                      <w:fldChar w:fldCharType="separate"/>
                    </w:r>
                    <w:r>
                      <w:rPr>
                        <w:rFonts w:hint="eastAsia" w:ascii="仿宋_GB2312" w:hAnsi="仿宋_GB2312" w:eastAsia="仿宋_GB2312" w:cs="仿宋_GB2312"/>
                        <w:sz w:val="22"/>
                        <w:szCs w:val="36"/>
                        <w:lang w:eastAsia="zh-CN"/>
                      </w:rPr>
                      <w:t>1</w:t>
                    </w:r>
                    <w:r>
                      <w:rPr>
                        <w:rFonts w:hint="eastAsia" w:ascii="仿宋_GB2312" w:hAnsi="仿宋_GB2312" w:eastAsia="仿宋_GB2312" w:cs="仿宋_GB2312"/>
                        <w:sz w:val="22"/>
                        <w:szCs w:val="36"/>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54A2">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1993C"/>
    <w:multiLevelType w:val="multilevel"/>
    <w:tmpl w:val="AA71993C"/>
    <w:lvl w:ilvl="0" w:tentative="0">
      <w:start w:val="1"/>
      <w:numFmt w:val="chineseCountingThousand"/>
      <w:lvlText w:val="第%1章"/>
      <w:lvlJc w:val="center"/>
      <w:pPr>
        <w:ind w:left="0" w:firstLine="0"/>
      </w:pPr>
      <w:rPr>
        <w:rFonts w:hint="eastAsia" w:ascii="方正黑体_GBK" w:hAnsi="方正黑体_GBK" w:eastAsia="方正黑体_GBK" w:cs="方正黑体_GBK"/>
        <w:b/>
        <w:i w:val="0"/>
        <w:sz w:val="32"/>
        <w:lang w:val="en-US"/>
      </w:rPr>
    </w:lvl>
    <w:lvl w:ilvl="1" w:tentative="0">
      <w:start w:val="1"/>
      <w:numFmt w:val="chineseCountingThousand"/>
      <w:lvlText w:val="第%2节"/>
      <w:lvlJc w:val="center"/>
      <w:pPr>
        <w:ind w:left="0" w:firstLine="0"/>
      </w:pPr>
      <w:rPr>
        <w:rFonts w:hint="eastAsia" w:ascii="楷体_GB2312" w:hAnsi="楷体_GB2312" w:eastAsia="楷体_GB2312" w:cs="楷体_GB2312"/>
        <w:b/>
        <w:i w:val="0"/>
        <w:sz w:val="32"/>
      </w:rPr>
    </w:lvl>
    <w:lvl w:ilvl="2" w:tentative="0">
      <w:start w:val="1"/>
      <w:numFmt w:val="decimal"/>
      <w:pStyle w:val="23"/>
      <w:isLgl/>
      <w:suff w:val="nothing"/>
      <w:lvlText w:val="第%1.%2.%3条"/>
      <w:lvlJc w:val="left"/>
      <w:pPr>
        <w:ind w:left="4200" w:hanging="420"/>
      </w:pPr>
      <w:rPr>
        <w:rFonts w:hint="eastAsia" w:ascii="方正仿宋_GBK" w:eastAsia="方正仿宋_GBK"/>
        <w:b w:val="0"/>
        <w:i w:val="0"/>
        <w:sz w:val="32"/>
        <w:lang w:val="en-US"/>
      </w:rPr>
    </w:lvl>
    <w:lvl w:ilvl="3" w:tentative="0">
      <w:start w:val="1"/>
      <w:numFmt w:val="decimal"/>
      <w:lvlText w:val="%1.%2.%3.%4."/>
      <w:lvlJc w:val="left"/>
      <w:pPr>
        <w:ind w:left="420" w:hanging="420"/>
      </w:pPr>
      <w:rPr>
        <w:rFonts w:hint="eastAsia"/>
      </w:rPr>
    </w:lvl>
    <w:lvl w:ilvl="4" w:tentative="0">
      <w:start w:val="1"/>
      <w:numFmt w:val="decimal"/>
      <w:lvlText w:val="%1.%2.%3.%4.%5."/>
      <w:lvlJc w:val="left"/>
      <w:pPr>
        <w:ind w:left="420" w:hanging="420"/>
      </w:pPr>
      <w:rPr>
        <w:rFonts w:hint="eastAsia"/>
      </w:rPr>
    </w:lvl>
    <w:lvl w:ilvl="5" w:tentative="0">
      <w:start w:val="1"/>
      <w:numFmt w:val="decimal"/>
      <w:lvlText w:val="%1.%2.%3.%4.%5.%6."/>
      <w:lvlJc w:val="left"/>
      <w:pPr>
        <w:ind w:left="420" w:hanging="420"/>
      </w:pPr>
      <w:rPr>
        <w:rFonts w:hint="eastAsia"/>
      </w:rPr>
    </w:lvl>
    <w:lvl w:ilvl="6" w:tentative="0">
      <w:start w:val="1"/>
      <w:numFmt w:val="decimal"/>
      <w:lvlText w:val="%1.%2.%3.%4.%5.%6.%7."/>
      <w:lvlJc w:val="left"/>
      <w:pPr>
        <w:ind w:left="420" w:hanging="420"/>
      </w:pPr>
      <w:rPr>
        <w:rFonts w:hint="eastAsia"/>
      </w:rPr>
    </w:lvl>
    <w:lvl w:ilvl="7" w:tentative="0">
      <w:start w:val="1"/>
      <w:numFmt w:val="decimal"/>
      <w:lvlText w:val="%1.%2.%3.%4.%5.%6.%7.%8."/>
      <w:lvlJc w:val="left"/>
      <w:pPr>
        <w:ind w:left="420" w:hanging="420"/>
      </w:pPr>
      <w:rPr>
        <w:rFonts w:hint="eastAsia"/>
      </w:rPr>
    </w:lvl>
    <w:lvl w:ilvl="8" w:tentative="0">
      <w:start w:val="1"/>
      <w:numFmt w:val="decimal"/>
      <w:lvlText w:val="%1.%2.%3.%4.%5.%6.%7.%8.%9."/>
      <w:lvlJc w:val="left"/>
      <w:pPr>
        <w:ind w:left="420" w:hanging="420"/>
      </w:pPr>
      <w:rPr>
        <w:rFonts w:hint="eastAsia"/>
      </w:rPr>
    </w:lvl>
  </w:abstractNum>
  <w:abstractNum w:abstractNumId="1">
    <w:nsid w:val="BF3C14DE"/>
    <w:multiLevelType w:val="singleLevel"/>
    <w:tmpl w:val="BF3C14DE"/>
    <w:lvl w:ilvl="0" w:tentative="0">
      <w:start w:val="4"/>
      <w:numFmt w:val="chineseCounting"/>
      <w:suff w:val="space"/>
      <w:lvlText w:val="第%1章"/>
      <w:lvlJc w:val="left"/>
      <w:rPr>
        <w:rFonts w:hint="eastAsia"/>
      </w:rPr>
    </w:lvl>
  </w:abstractNum>
  <w:abstractNum w:abstractNumId="2">
    <w:nsid w:val="C16BF675"/>
    <w:multiLevelType w:val="singleLevel"/>
    <w:tmpl w:val="C16BF675"/>
    <w:lvl w:ilvl="0" w:tentative="0">
      <w:start w:val="1"/>
      <w:numFmt w:val="chineseCounting"/>
      <w:suff w:val="nothing"/>
      <w:lvlText w:val="第%1条 "/>
      <w:lvlJc w:val="left"/>
      <w:pPr>
        <w:ind w:left="-13" w:firstLine="1134"/>
      </w:pPr>
      <w:rPr>
        <w:rFonts w:hint="eastAsia" w:ascii="仿宋" w:hAnsi="仿宋" w:eastAsia="仿宋" w:cs="仿宋"/>
        <w:b/>
        <w:bCs/>
        <w:sz w:val="32"/>
        <w:szCs w:val="32"/>
      </w:rPr>
    </w:lvl>
  </w:abstractNum>
  <w:abstractNum w:abstractNumId="3">
    <w:nsid w:val="F79E7150"/>
    <w:multiLevelType w:val="singleLevel"/>
    <w:tmpl w:val="F79E7150"/>
    <w:lvl w:ilvl="0" w:tentative="0">
      <w:start w:val="1"/>
      <w:numFmt w:val="chineseCounting"/>
      <w:suff w:val="nothing"/>
      <w:lvlText w:val="（%1）"/>
      <w:lvlJc w:val="left"/>
      <w:rPr>
        <w:rFonts w:hint="eastAsia"/>
      </w:rPr>
    </w:lvl>
  </w:abstractNum>
  <w:abstractNum w:abstractNumId="4">
    <w:nsid w:val="00000005"/>
    <w:multiLevelType w:val="multilevel"/>
    <w:tmpl w:val="00000005"/>
    <w:lvl w:ilvl="0" w:tentative="0">
      <w:start w:val="1"/>
      <w:numFmt w:val="chineseCounting"/>
      <w:pStyle w:val="28"/>
      <w:suff w:val="nothing"/>
      <w:lvlText w:val="（%1）"/>
      <w:lvlJc w:val="left"/>
      <w:rPr>
        <w:rFonts w:hint="eastAsia"/>
      </w:rPr>
    </w:lvl>
    <w:lvl w:ilvl="1" w:tentative="0">
      <w:start w:val="1"/>
      <w:numFmt w:val="chineseCountingThousand"/>
      <w:lvlText w:val="（%2）"/>
      <w:lvlJc w:val="left"/>
      <w:pPr>
        <w:tabs>
          <w:tab w:val="left" w:pos="0"/>
        </w:tabs>
        <w:ind w:firstLine="454"/>
      </w:pPr>
      <w:rPr>
        <w:rFonts w:hint="eastAsia" w:ascii="Times New Roman" w:cs="Times New Roman"/>
        <w:sz w:val="32"/>
        <w:szCs w:val="32"/>
      </w:rPr>
    </w:lvl>
    <w:lvl w:ilvl="2" w:tentative="0">
      <w:start w:val="1"/>
      <w:numFmt w:val="japaneseCounting"/>
      <w:lvlText w:val="（%3）"/>
      <w:lvlJc w:val="left"/>
      <w:pPr>
        <w:tabs>
          <w:tab w:val="left" w:pos="2460"/>
        </w:tabs>
        <w:ind w:left="2460" w:hanging="1620"/>
      </w:pPr>
      <w:rPr>
        <w:rFonts w:hint="eastAsia" w:ascii="Times New Roman" w:cs="Times New Roman"/>
      </w:rPr>
    </w:lvl>
    <w:lvl w:ilvl="3" w:tentative="0">
      <w:start w:val="1"/>
      <w:numFmt w:val="decimal"/>
      <w:lvlText w:val="%4."/>
      <w:lvlJc w:val="left"/>
      <w:pPr>
        <w:tabs>
          <w:tab w:val="left" w:pos="1680"/>
        </w:tabs>
        <w:ind w:left="1680" w:hanging="420"/>
      </w:pPr>
      <w:rPr>
        <w:rFonts w:hint="eastAsia" w:ascii="Times New Roman" w:cs="Times New Roman"/>
      </w:rPr>
    </w:lvl>
    <w:lvl w:ilvl="4" w:tentative="0">
      <w:start w:val="1"/>
      <w:numFmt w:val="lowerLetter"/>
      <w:lvlText w:val="%5)"/>
      <w:lvlJc w:val="left"/>
      <w:pPr>
        <w:tabs>
          <w:tab w:val="left" w:pos="2100"/>
        </w:tabs>
        <w:ind w:left="2100" w:hanging="420"/>
      </w:pPr>
      <w:rPr>
        <w:rFonts w:hint="eastAsia" w:ascii="Times New Roman" w:cs="Times New Roman"/>
      </w:rPr>
    </w:lvl>
    <w:lvl w:ilvl="5" w:tentative="0">
      <w:start w:val="1"/>
      <w:numFmt w:val="lowerRoman"/>
      <w:lvlText w:val="%6."/>
      <w:lvlJc w:val="right"/>
      <w:pPr>
        <w:tabs>
          <w:tab w:val="left" w:pos="2520"/>
        </w:tabs>
        <w:ind w:left="2520" w:hanging="420"/>
      </w:pPr>
      <w:rPr>
        <w:rFonts w:hint="eastAsia" w:ascii="Times New Roman" w:cs="Times New Roman"/>
      </w:rPr>
    </w:lvl>
    <w:lvl w:ilvl="6" w:tentative="0">
      <w:start w:val="1"/>
      <w:numFmt w:val="decimal"/>
      <w:lvlText w:val="%7."/>
      <w:lvlJc w:val="left"/>
      <w:pPr>
        <w:tabs>
          <w:tab w:val="left" w:pos="2940"/>
        </w:tabs>
        <w:ind w:left="2940" w:hanging="420"/>
      </w:pPr>
      <w:rPr>
        <w:rFonts w:hint="eastAsia" w:ascii="Times New Roman" w:cs="Times New Roman"/>
      </w:rPr>
    </w:lvl>
    <w:lvl w:ilvl="7" w:tentative="0">
      <w:start w:val="1"/>
      <w:numFmt w:val="lowerLetter"/>
      <w:lvlText w:val="%8)"/>
      <w:lvlJc w:val="left"/>
      <w:pPr>
        <w:tabs>
          <w:tab w:val="left" w:pos="3360"/>
        </w:tabs>
        <w:ind w:left="3360" w:hanging="420"/>
      </w:pPr>
      <w:rPr>
        <w:rFonts w:hint="eastAsia" w:ascii="Times New Roman" w:cs="Times New Roman"/>
      </w:rPr>
    </w:lvl>
    <w:lvl w:ilvl="8" w:tentative="0">
      <w:start w:val="1"/>
      <w:numFmt w:val="lowerRoman"/>
      <w:lvlText w:val="%9."/>
      <w:lvlJc w:val="right"/>
      <w:pPr>
        <w:tabs>
          <w:tab w:val="left" w:pos="3780"/>
        </w:tabs>
        <w:ind w:left="3780" w:hanging="420"/>
      </w:pPr>
      <w:rPr>
        <w:rFonts w:hint="eastAsia" w:ascii="Times New Roman" w:cs="Times New Roman"/>
      </w:rPr>
    </w:lvl>
  </w:abstractNum>
  <w:abstractNum w:abstractNumId="5">
    <w:nsid w:val="0AEAED3B"/>
    <w:multiLevelType w:val="singleLevel"/>
    <w:tmpl w:val="0AEAED3B"/>
    <w:lvl w:ilvl="0" w:tentative="0">
      <w:start w:val="1"/>
      <w:numFmt w:val="decimal"/>
      <w:suff w:val="space"/>
      <w:lvlText w:val="%1."/>
      <w:lvlJc w:val="left"/>
    </w:lvl>
  </w:abstractNum>
  <w:abstractNum w:abstractNumId="6">
    <w:nsid w:val="2F9098EC"/>
    <w:multiLevelType w:val="singleLevel"/>
    <w:tmpl w:val="2F9098EC"/>
    <w:lvl w:ilvl="0" w:tentative="0">
      <w:start w:val="1"/>
      <w:numFmt w:val="chineseCountingThousand"/>
      <w:pStyle w:val="21"/>
      <w:suff w:val="nothing"/>
      <w:lvlText w:val="第%1条 "/>
      <w:lvlJc w:val="left"/>
      <w:pPr>
        <w:ind w:left="4337" w:firstLine="624"/>
      </w:pPr>
      <w:rPr>
        <w:rFonts w:hint="eastAsia" w:ascii="仿宋_GB2312" w:hAnsi="仿宋_GB2312" w:eastAsia="仿宋_GB2312" w:cs="仿宋_GB2312"/>
        <w:b/>
        <w:i w:val="0"/>
        <w:color w:val="auto"/>
        <w:sz w:val="32"/>
        <w:szCs w:val="32"/>
        <w:lang w:val="en-US"/>
      </w:rPr>
    </w:lvl>
  </w:abstractNum>
  <w:num w:numId="1">
    <w:abstractNumId w:val="6"/>
  </w:num>
  <w:num w:numId="2">
    <w:abstractNumId w:val="0"/>
  </w:num>
  <w:num w:numId="3">
    <w:abstractNumId w:val="4"/>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GE5MzUzODA2NmVhOGVmZTMzYWIzYzk3ZTgyYTMifQ=="/>
  </w:docVars>
  <w:rsids>
    <w:rsidRoot w:val="00B9648D"/>
    <w:rsid w:val="00025678"/>
    <w:rsid w:val="002034FC"/>
    <w:rsid w:val="002F3185"/>
    <w:rsid w:val="00504AF0"/>
    <w:rsid w:val="00582C02"/>
    <w:rsid w:val="007A51B4"/>
    <w:rsid w:val="00801890"/>
    <w:rsid w:val="00B1784A"/>
    <w:rsid w:val="00B9648D"/>
    <w:rsid w:val="00D074CA"/>
    <w:rsid w:val="00EE20A4"/>
    <w:rsid w:val="00F8168B"/>
    <w:rsid w:val="01492C00"/>
    <w:rsid w:val="01501095"/>
    <w:rsid w:val="01851142"/>
    <w:rsid w:val="01A56261"/>
    <w:rsid w:val="01CD7566"/>
    <w:rsid w:val="01D86637"/>
    <w:rsid w:val="01E274B5"/>
    <w:rsid w:val="01EA5498"/>
    <w:rsid w:val="01EF281A"/>
    <w:rsid w:val="021C50D2"/>
    <w:rsid w:val="02201020"/>
    <w:rsid w:val="02263A7B"/>
    <w:rsid w:val="0227311A"/>
    <w:rsid w:val="02331ABF"/>
    <w:rsid w:val="02533F0F"/>
    <w:rsid w:val="02563E6F"/>
    <w:rsid w:val="02714395"/>
    <w:rsid w:val="02A15EA1"/>
    <w:rsid w:val="02A50A18"/>
    <w:rsid w:val="02B21963"/>
    <w:rsid w:val="02C03DAF"/>
    <w:rsid w:val="02C263EC"/>
    <w:rsid w:val="02F15A45"/>
    <w:rsid w:val="02F4738A"/>
    <w:rsid w:val="02F7494F"/>
    <w:rsid w:val="03085274"/>
    <w:rsid w:val="031A3563"/>
    <w:rsid w:val="031C07A5"/>
    <w:rsid w:val="032A4C70"/>
    <w:rsid w:val="03915E28"/>
    <w:rsid w:val="039D6C50"/>
    <w:rsid w:val="03A435AD"/>
    <w:rsid w:val="03A67BC6"/>
    <w:rsid w:val="03B7227C"/>
    <w:rsid w:val="03B94246"/>
    <w:rsid w:val="03BF6048"/>
    <w:rsid w:val="03C2091E"/>
    <w:rsid w:val="03D74AFD"/>
    <w:rsid w:val="03F50B17"/>
    <w:rsid w:val="03FD2384"/>
    <w:rsid w:val="04277401"/>
    <w:rsid w:val="042913CB"/>
    <w:rsid w:val="042C6F9A"/>
    <w:rsid w:val="04387860"/>
    <w:rsid w:val="0444488F"/>
    <w:rsid w:val="04447FB3"/>
    <w:rsid w:val="044D54CE"/>
    <w:rsid w:val="045F6B9B"/>
    <w:rsid w:val="04685021"/>
    <w:rsid w:val="04695C6C"/>
    <w:rsid w:val="0473621C"/>
    <w:rsid w:val="048D2705"/>
    <w:rsid w:val="049C7705"/>
    <w:rsid w:val="04BC60E9"/>
    <w:rsid w:val="04F574FF"/>
    <w:rsid w:val="04FD0DDE"/>
    <w:rsid w:val="05112368"/>
    <w:rsid w:val="052B2F21"/>
    <w:rsid w:val="053B4BEA"/>
    <w:rsid w:val="05544226"/>
    <w:rsid w:val="05557C1C"/>
    <w:rsid w:val="055D25FC"/>
    <w:rsid w:val="057354A7"/>
    <w:rsid w:val="057A59A1"/>
    <w:rsid w:val="057C377D"/>
    <w:rsid w:val="058538BC"/>
    <w:rsid w:val="058A68AC"/>
    <w:rsid w:val="05900FD6"/>
    <w:rsid w:val="05AB5888"/>
    <w:rsid w:val="05B42F17"/>
    <w:rsid w:val="05B44CC5"/>
    <w:rsid w:val="05C07B0D"/>
    <w:rsid w:val="05DB1FAB"/>
    <w:rsid w:val="05F90649"/>
    <w:rsid w:val="06050BF2"/>
    <w:rsid w:val="06052D80"/>
    <w:rsid w:val="060F639F"/>
    <w:rsid w:val="0616597F"/>
    <w:rsid w:val="06585F98"/>
    <w:rsid w:val="065D535C"/>
    <w:rsid w:val="066E5B12"/>
    <w:rsid w:val="0676641E"/>
    <w:rsid w:val="06897EFF"/>
    <w:rsid w:val="068B011B"/>
    <w:rsid w:val="06E14AFA"/>
    <w:rsid w:val="06ED5590"/>
    <w:rsid w:val="06F537E7"/>
    <w:rsid w:val="06F57DC4"/>
    <w:rsid w:val="06FF01C2"/>
    <w:rsid w:val="06FF4665"/>
    <w:rsid w:val="071719AF"/>
    <w:rsid w:val="071C4415"/>
    <w:rsid w:val="071D689A"/>
    <w:rsid w:val="072678E3"/>
    <w:rsid w:val="0730481F"/>
    <w:rsid w:val="07575804"/>
    <w:rsid w:val="07612C2A"/>
    <w:rsid w:val="0763034E"/>
    <w:rsid w:val="076B5857"/>
    <w:rsid w:val="076F17EB"/>
    <w:rsid w:val="077379C7"/>
    <w:rsid w:val="077E558A"/>
    <w:rsid w:val="078B414B"/>
    <w:rsid w:val="07A1571D"/>
    <w:rsid w:val="07B23486"/>
    <w:rsid w:val="07B71853"/>
    <w:rsid w:val="07C25ACA"/>
    <w:rsid w:val="07C55DDC"/>
    <w:rsid w:val="07D91E6C"/>
    <w:rsid w:val="07DB478B"/>
    <w:rsid w:val="07E8C4E8"/>
    <w:rsid w:val="07F957E5"/>
    <w:rsid w:val="082500FC"/>
    <w:rsid w:val="0826076A"/>
    <w:rsid w:val="082779D0"/>
    <w:rsid w:val="084C7436"/>
    <w:rsid w:val="08585DDB"/>
    <w:rsid w:val="08730E67"/>
    <w:rsid w:val="0873206B"/>
    <w:rsid w:val="08794A99"/>
    <w:rsid w:val="087D5842"/>
    <w:rsid w:val="088E0D78"/>
    <w:rsid w:val="08952286"/>
    <w:rsid w:val="08986B20"/>
    <w:rsid w:val="08A2174C"/>
    <w:rsid w:val="08BF2FDD"/>
    <w:rsid w:val="08CE0A06"/>
    <w:rsid w:val="08D833C0"/>
    <w:rsid w:val="08DD197C"/>
    <w:rsid w:val="08E81045"/>
    <w:rsid w:val="09063A89"/>
    <w:rsid w:val="09233C43"/>
    <w:rsid w:val="09261B0E"/>
    <w:rsid w:val="09347473"/>
    <w:rsid w:val="09475E50"/>
    <w:rsid w:val="09562C4F"/>
    <w:rsid w:val="09590A46"/>
    <w:rsid w:val="095C18FB"/>
    <w:rsid w:val="09683776"/>
    <w:rsid w:val="09865940"/>
    <w:rsid w:val="099E1BCE"/>
    <w:rsid w:val="09B2776D"/>
    <w:rsid w:val="09C86F91"/>
    <w:rsid w:val="0A195A3E"/>
    <w:rsid w:val="0A367F52"/>
    <w:rsid w:val="0A742C74"/>
    <w:rsid w:val="0A9F23E7"/>
    <w:rsid w:val="0AA35E96"/>
    <w:rsid w:val="0AB944A3"/>
    <w:rsid w:val="0ABE20A5"/>
    <w:rsid w:val="0AE53B72"/>
    <w:rsid w:val="0AEB73DB"/>
    <w:rsid w:val="0B071D3B"/>
    <w:rsid w:val="0B0F299D"/>
    <w:rsid w:val="0B1F0C52"/>
    <w:rsid w:val="0B1F7084"/>
    <w:rsid w:val="0B2119DF"/>
    <w:rsid w:val="0B382707"/>
    <w:rsid w:val="0B3C7C36"/>
    <w:rsid w:val="0B41524D"/>
    <w:rsid w:val="0B4765DB"/>
    <w:rsid w:val="0B8C7798"/>
    <w:rsid w:val="0B925AA8"/>
    <w:rsid w:val="0B976CA7"/>
    <w:rsid w:val="0BA77314"/>
    <w:rsid w:val="0BA8707A"/>
    <w:rsid w:val="0BBB13A5"/>
    <w:rsid w:val="0BC814CA"/>
    <w:rsid w:val="0BDBFAF1"/>
    <w:rsid w:val="0BE04A65"/>
    <w:rsid w:val="0BEE7FFB"/>
    <w:rsid w:val="0C093AAA"/>
    <w:rsid w:val="0C276209"/>
    <w:rsid w:val="0C323297"/>
    <w:rsid w:val="0C3516A0"/>
    <w:rsid w:val="0C420DF2"/>
    <w:rsid w:val="0C4C3EA9"/>
    <w:rsid w:val="0C9A10BD"/>
    <w:rsid w:val="0CA37841"/>
    <w:rsid w:val="0CB1159B"/>
    <w:rsid w:val="0CBD4DA7"/>
    <w:rsid w:val="0CCA74C4"/>
    <w:rsid w:val="0CCF6CD2"/>
    <w:rsid w:val="0CD52D61"/>
    <w:rsid w:val="0CFF716D"/>
    <w:rsid w:val="0D1F047B"/>
    <w:rsid w:val="0D316917"/>
    <w:rsid w:val="0D4032E2"/>
    <w:rsid w:val="0D4B4161"/>
    <w:rsid w:val="0D5408CD"/>
    <w:rsid w:val="0D6434CD"/>
    <w:rsid w:val="0D662D48"/>
    <w:rsid w:val="0D6C1DC6"/>
    <w:rsid w:val="0D9469D1"/>
    <w:rsid w:val="0DA664D7"/>
    <w:rsid w:val="0DC013C5"/>
    <w:rsid w:val="0DDB4B16"/>
    <w:rsid w:val="0DEA2561"/>
    <w:rsid w:val="0DF465A6"/>
    <w:rsid w:val="0DF76096"/>
    <w:rsid w:val="0E0D7668"/>
    <w:rsid w:val="0E154A08"/>
    <w:rsid w:val="0E17734B"/>
    <w:rsid w:val="0E252C04"/>
    <w:rsid w:val="0E682AF0"/>
    <w:rsid w:val="0E943D32"/>
    <w:rsid w:val="0EDE1F9F"/>
    <w:rsid w:val="0EFD72AC"/>
    <w:rsid w:val="0F060199"/>
    <w:rsid w:val="0F264E85"/>
    <w:rsid w:val="0F334EAC"/>
    <w:rsid w:val="0F3550C8"/>
    <w:rsid w:val="0F3B1AB1"/>
    <w:rsid w:val="0F5C08A7"/>
    <w:rsid w:val="0F612111"/>
    <w:rsid w:val="0F70A30E"/>
    <w:rsid w:val="0F723B74"/>
    <w:rsid w:val="0F7D0F35"/>
    <w:rsid w:val="0F84395A"/>
    <w:rsid w:val="0F87344A"/>
    <w:rsid w:val="0F895414"/>
    <w:rsid w:val="0F8B4F32"/>
    <w:rsid w:val="0F93110C"/>
    <w:rsid w:val="0F9F69E6"/>
    <w:rsid w:val="0FBA381F"/>
    <w:rsid w:val="0FC55912"/>
    <w:rsid w:val="0FC6166D"/>
    <w:rsid w:val="0FCD34E7"/>
    <w:rsid w:val="0FD0001F"/>
    <w:rsid w:val="0FD74DED"/>
    <w:rsid w:val="0FE91A0F"/>
    <w:rsid w:val="0FF3CED0"/>
    <w:rsid w:val="0FFF5BB1"/>
    <w:rsid w:val="0FFFEA2E"/>
    <w:rsid w:val="10086339"/>
    <w:rsid w:val="102C4895"/>
    <w:rsid w:val="103510F8"/>
    <w:rsid w:val="10367EA5"/>
    <w:rsid w:val="104113E3"/>
    <w:rsid w:val="10452A38"/>
    <w:rsid w:val="1066330F"/>
    <w:rsid w:val="108F4CA9"/>
    <w:rsid w:val="10C779EC"/>
    <w:rsid w:val="10D12BCF"/>
    <w:rsid w:val="10ED3781"/>
    <w:rsid w:val="10F43207"/>
    <w:rsid w:val="10F51D5F"/>
    <w:rsid w:val="10FD39C4"/>
    <w:rsid w:val="11194576"/>
    <w:rsid w:val="1120771C"/>
    <w:rsid w:val="1145536B"/>
    <w:rsid w:val="11477A03"/>
    <w:rsid w:val="114D13E1"/>
    <w:rsid w:val="115455FC"/>
    <w:rsid w:val="115A34AF"/>
    <w:rsid w:val="1161686F"/>
    <w:rsid w:val="1169429C"/>
    <w:rsid w:val="11763776"/>
    <w:rsid w:val="117762A6"/>
    <w:rsid w:val="118F3E01"/>
    <w:rsid w:val="11916802"/>
    <w:rsid w:val="119500A0"/>
    <w:rsid w:val="11A439A9"/>
    <w:rsid w:val="11A958FA"/>
    <w:rsid w:val="11B06C88"/>
    <w:rsid w:val="11B60016"/>
    <w:rsid w:val="11BA7B07"/>
    <w:rsid w:val="11C263FA"/>
    <w:rsid w:val="11D53C5B"/>
    <w:rsid w:val="11E43364"/>
    <w:rsid w:val="11E43E52"/>
    <w:rsid w:val="12041F3E"/>
    <w:rsid w:val="120C7C36"/>
    <w:rsid w:val="12134D71"/>
    <w:rsid w:val="122D4356"/>
    <w:rsid w:val="12455BAD"/>
    <w:rsid w:val="12751C80"/>
    <w:rsid w:val="127EEA90"/>
    <w:rsid w:val="128F1996"/>
    <w:rsid w:val="12A16D41"/>
    <w:rsid w:val="12A85BB1"/>
    <w:rsid w:val="12B05794"/>
    <w:rsid w:val="12B80904"/>
    <w:rsid w:val="12BD60E8"/>
    <w:rsid w:val="12EC7CD8"/>
    <w:rsid w:val="12EF1A32"/>
    <w:rsid w:val="12FF38F1"/>
    <w:rsid w:val="1312127D"/>
    <w:rsid w:val="13303D74"/>
    <w:rsid w:val="133D1074"/>
    <w:rsid w:val="1340403C"/>
    <w:rsid w:val="1350710E"/>
    <w:rsid w:val="135875D7"/>
    <w:rsid w:val="135E44C2"/>
    <w:rsid w:val="13653AA2"/>
    <w:rsid w:val="1367781A"/>
    <w:rsid w:val="136A4BFD"/>
    <w:rsid w:val="13773A48"/>
    <w:rsid w:val="137D2B9A"/>
    <w:rsid w:val="13A26AA4"/>
    <w:rsid w:val="13E41939"/>
    <w:rsid w:val="13E7095B"/>
    <w:rsid w:val="13EE42B3"/>
    <w:rsid w:val="13EF7489"/>
    <w:rsid w:val="13F60B9E"/>
    <w:rsid w:val="14072DAB"/>
    <w:rsid w:val="140E7C96"/>
    <w:rsid w:val="14327E28"/>
    <w:rsid w:val="1450037D"/>
    <w:rsid w:val="146B333A"/>
    <w:rsid w:val="14851B0F"/>
    <w:rsid w:val="14972477"/>
    <w:rsid w:val="14AC5D2B"/>
    <w:rsid w:val="14B3553B"/>
    <w:rsid w:val="14BC5944"/>
    <w:rsid w:val="14C33176"/>
    <w:rsid w:val="14D728AA"/>
    <w:rsid w:val="151E215B"/>
    <w:rsid w:val="152B4878"/>
    <w:rsid w:val="152C0D1B"/>
    <w:rsid w:val="152D6842"/>
    <w:rsid w:val="152E05CD"/>
    <w:rsid w:val="15443F4A"/>
    <w:rsid w:val="154C630B"/>
    <w:rsid w:val="154F2A1A"/>
    <w:rsid w:val="1561620A"/>
    <w:rsid w:val="1569529B"/>
    <w:rsid w:val="157D5ACE"/>
    <w:rsid w:val="157E4071"/>
    <w:rsid w:val="15832609"/>
    <w:rsid w:val="159E7205"/>
    <w:rsid w:val="15B11221"/>
    <w:rsid w:val="15C56A7A"/>
    <w:rsid w:val="15D55DE5"/>
    <w:rsid w:val="15D768A6"/>
    <w:rsid w:val="15F96B4C"/>
    <w:rsid w:val="15FE95D4"/>
    <w:rsid w:val="16223ECC"/>
    <w:rsid w:val="163D5A89"/>
    <w:rsid w:val="166874AC"/>
    <w:rsid w:val="16770809"/>
    <w:rsid w:val="167F4E7B"/>
    <w:rsid w:val="16C90EF1"/>
    <w:rsid w:val="16DA5E9A"/>
    <w:rsid w:val="16E80C72"/>
    <w:rsid w:val="16FE29AD"/>
    <w:rsid w:val="17211C27"/>
    <w:rsid w:val="17267AF9"/>
    <w:rsid w:val="172B0B5F"/>
    <w:rsid w:val="17410D71"/>
    <w:rsid w:val="175F2F75"/>
    <w:rsid w:val="175F2F87"/>
    <w:rsid w:val="176A1687"/>
    <w:rsid w:val="176D1177"/>
    <w:rsid w:val="1775C7E4"/>
    <w:rsid w:val="17771FF6"/>
    <w:rsid w:val="17865BF1"/>
    <w:rsid w:val="179B2160"/>
    <w:rsid w:val="17A11609"/>
    <w:rsid w:val="17DFBA25"/>
    <w:rsid w:val="17E551B2"/>
    <w:rsid w:val="17F60A97"/>
    <w:rsid w:val="17FC996E"/>
    <w:rsid w:val="180E3548"/>
    <w:rsid w:val="180F129C"/>
    <w:rsid w:val="181843B4"/>
    <w:rsid w:val="18300B23"/>
    <w:rsid w:val="184323A2"/>
    <w:rsid w:val="184E3AC5"/>
    <w:rsid w:val="18595C36"/>
    <w:rsid w:val="186500A0"/>
    <w:rsid w:val="188B4249"/>
    <w:rsid w:val="189D783A"/>
    <w:rsid w:val="189E5CEB"/>
    <w:rsid w:val="18A961DF"/>
    <w:rsid w:val="18C23AA7"/>
    <w:rsid w:val="18FD3153"/>
    <w:rsid w:val="19145D4E"/>
    <w:rsid w:val="191D00C0"/>
    <w:rsid w:val="19454250"/>
    <w:rsid w:val="194A411F"/>
    <w:rsid w:val="196D545F"/>
    <w:rsid w:val="197726DE"/>
    <w:rsid w:val="198A6262"/>
    <w:rsid w:val="19906C2F"/>
    <w:rsid w:val="19C018B1"/>
    <w:rsid w:val="19DD4C7B"/>
    <w:rsid w:val="19E33973"/>
    <w:rsid w:val="19E41BC5"/>
    <w:rsid w:val="19F618F8"/>
    <w:rsid w:val="19FBD192"/>
    <w:rsid w:val="1A02029D"/>
    <w:rsid w:val="1A295829"/>
    <w:rsid w:val="1A38737C"/>
    <w:rsid w:val="1A5B79AD"/>
    <w:rsid w:val="1A5C131F"/>
    <w:rsid w:val="1A5D1977"/>
    <w:rsid w:val="1A604FC3"/>
    <w:rsid w:val="1A8B64E4"/>
    <w:rsid w:val="1A952EBF"/>
    <w:rsid w:val="1AB07CF9"/>
    <w:rsid w:val="1ABB2FA2"/>
    <w:rsid w:val="1AC92B69"/>
    <w:rsid w:val="1AE71584"/>
    <w:rsid w:val="1AE9619A"/>
    <w:rsid w:val="1AEE5B9E"/>
    <w:rsid w:val="1AF851FC"/>
    <w:rsid w:val="1AFD193C"/>
    <w:rsid w:val="1B154296"/>
    <w:rsid w:val="1B215FC7"/>
    <w:rsid w:val="1B244243"/>
    <w:rsid w:val="1B2A4181"/>
    <w:rsid w:val="1B2C5C22"/>
    <w:rsid w:val="1B574618"/>
    <w:rsid w:val="1B610FF3"/>
    <w:rsid w:val="1B79630B"/>
    <w:rsid w:val="1B8A0C7B"/>
    <w:rsid w:val="1B8C3888"/>
    <w:rsid w:val="1BC558F8"/>
    <w:rsid w:val="1BCD48DA"/>
    <w:rsid w:val="1BD10C92"/>
    <w:rsid w:val="1BDA931B"/>
    <w:rsid w:val="1BE063BC"/>
    <w:rsid w:val="1BE116BD"/>
    <w:rsid w:val="1BE198FB"/>
    <w:rsid w:val="1BE745AF"/>
    <w:rsid w:val="1BF260EF"/>
    <w:rsid w:val="1BF748CE"/>
    <w:rsid w:val="1BFF539B"/>
    <w:rsid w:val="1C00080C"/>
    <w:rsid w:val="1C055E22"/>
    <w:rsid w:val="1C0876C1"/>
    <w:rsid w:val="1C116575"/>
    <w:rsid w:val="1C13053F"/>
    <w:rsid w:val="1C183DA8"/>
    <w:rsid w:val="1C373996"/>
    <w:rsid w:val="1C3A1F70"/>
    <w:rsid w:val="1C424981"/>
    <w:rsid w:val="1C8159F6"/>
    <w:rsid w:val="1C9070D5"/>
    <w:rsid w:val="1CBFBD0D"/>
    <w:rsid w:val="1CCF0851"/>
    <w:rsid w:val="1CEB14BC"/>
    <w:rsid w:val="1D1502E7"/>
    <w:rsid w:val="1D293D92"/>
    <w:rsid w:val="1D3A1868"/>
    <w:rsid w:val="1D45272B"/>
    <w:rsid w:val="1D590476"/>
    <w:rsid w:val="1D5B3812"/>
    <w:rsid w:val="1D5F1562"/>
    <w:rsid w:val="1D7B07E4"/>
    <w:rsid w:val="1D943902"/>
    <w:rsid w:val="1D976F4E"/>
    <w:rsid w:val="1D977A69"/>
    <w:rsid w:val="1DCC309C"/>
    <w:rsid w:val="1DD60E27"/>
    <w:rsid w:val="1DD683BE"/>
    <w:rsid w:val="1DDF475E"/>
    <w:rsid w:val="1DE008F5"/>
    <w:rsid w:val="1DE91F9C"/>
    <w:rsid w:val="1DEF37D3"/>
    <w:rsid w:val="1DF741F7"/>
    <w:rsid w:val="1DF94D5F"/>
    <w:rsid w:val="1E0D0840"/>
    <w:rsid w:val="1E193E07"/>
    <w:rsid w:val="1E2A16E2"/>
    <w:rsid w:val="1E3D2CF5"/>
    <w:rsid w:val="1E42510C"/>
    <w:rsid w:val="1E4F49AE"/>
    <w:rsid w:val="1E77039E"/>
    <w:rsid w:val="1E7C227D"/>
    <w:rsid w:val="1E825246"/>
    <w:rsid w:val="1E8A2202"/>
    <w:rsid w:val="1EAB0F03"/>
    <w:rsid w:val="1EAF1889"/>
    <w:rsid w:val="1EB06519"/>
    <w:rsid w:val="1EC069F0"/>
    <w:rsid w:val="1ECE569B"/>
    <w:rsid w:val="1EED44CC"/>
    <w:rsid w:val="1EF5137B"/>
    <w:rsid w:val="1EFA20E0"/>
    <w:rsid w:val="1EFF73EB"/>
    <w:rsid w:val="1EFF9043"/>
    <w:rsid w:val="1F0F3D8E"/>
    <w:rsid w:val="1F1B770B"/>
    <w:rsid w:val="1F1C3BAF"/>
    <w:rsid w:val="1F53E1C3"/>
    <w:rsid w:val="1F5940FE"/>
    <w:rsid w:val="1F67D502"/>
    <w:rsid w:val="1F686DF4"/>
    <w:rsid w:val="1F68B6DB"/>
    <w:rsid w:val="1F8C4B4B"/>
    <w:rsid w:val="1FA807F6"/>
    <w:rsid w:val="1FB3201A"/>
    <w:rsid w:val="1FB4E139"/>
    <w:rsid w:val="1FBA5176"/>
    <w:rsid w:val="1FBA6C72"/>
    <w:rsid w:val="1FBE07C2"/>
    <w:rsid w:val="1FBF10AC"/>
    <w:rsid w:val="1FC70323"/>
    <w:rsid w:val="1FCF74A2"/>
    <w:rsid w:val="1FDA8C90"/>
    <w:rsid w:val="1FDFD241"/>
    <w:rsid w:val="1FE150AF"/>
    <w:rsid w:val="1FED72F9"/>
    <w:rsid w:val="1FF3FD47"/>
    <w:rsid w:val="1FF74D1E"/>
    <w:rsid w:val="1FFBCAC7"/>
    <w:rsid w:val="1FFEF0F3"/>
    <w:rsid w:val="1FFF3959"/>
    <w:rsid w:val="200A5F72"/>
    <w:rsid w:val="2021759C"/>
    <w:rsid w:val="203641EF"/>
    <w:rsid w:val="203D202F"/>
    <w:rsid w:val="204809D3"/>
    <w:rsid w:val="206E35C8"/>
    <w:rsid w:val="20A438C4"/>
    <w:rsid w:val="20A83220"/>
    <w:rsid w:val="20D35E99"/>
    <w:rsid w:val="20F3093F"/>
    <w:rsid w:val="211F37AC"/>
    <w:rsid w:val="21740A2E"/>
    <w:rsid w:val="21AB2FC8"/>
    <w:rsid w:val="21B31E7D"/>
    <w:rsid w:val="21B72699"/>
    <w:rsid w:val="21BAFDDE"/>
    <w:rsid w:val="21C55F55"/>
    <w:rsid w:val="21CD1190"/>
    <w:rsid w:val="21DC7625"/>
    <w:rsid w:val="21ED1832"/>
    <w:rsid w:val="21FA5CFD"/>
    <w:rsid w:val="22097CEF"/>
    <w:rsid w:val="22266AF2"/>
    <w:rsid w:val="22406E78"/>
    <w:rsid w:val="22451054"/>
    <w:rsid w:val="22A75E85"/>
    <w:rsid w:val="22B57E35"/>
    <w:rsid w:val="22C81774"/>
    <w:rsid w:val="22E542B8"/>
    <w:rsid w:val="22F4750B"/>
    <w:rsid w:val="2308328F"/>
    <w:rsid w:val="23264FFC"/>
    <w:rsid w:val="234F729A"/>
    <w:rsid w:val="236553F8"/>
    <w:rsid w:val="23694EE9"/>
    <w:rsid w:val="237417D6"/>
    <w:rsid w:val="237815D0"/>
    <w:rsid w:val="2398757C"/>
    <w:rsid w:val="23A32E08"/>
    <w:rsid w:val="23AB5501"/>
    <w:rsid w:val="23B35C06"/>
    <w:rsid w:val="23B720F8"/>
    <w:rsid w:val="23C6058D"/>
    <w:rsid w:val="23C6486B"/>
    <w:rsid w:val="23DB8261"/>
    <w:rsid w:val="23EBF93B"/>
    <w:rsid w:val="24174945"/>
    <w:rsid w:val="24253506"/>
    <w:rsid w:val="24661428"/>
    <w:rsid w:val="24674683"/>
    <w:rsid w:val="24727DCD"/>
    <w:rsid w:val="24757D1D"/>
    <w:rsid w:val="248B16EC"/>
    <w:rsid w:val="24973CD7"/>
    <w:rsid w:val="249D6D95"/>
    <w:rsid w:val="24BE70C8"/>
    <w:rsid w:val="24CC572F"/>
    <w:rsid w:val="24DB3BC4"/>
    <w:rsid w:val="24F301AC"/>
    <w:rsid w:val="24F634B4"/>
    <w:rsid w:val="25273917"/>
    <w:rsid w:val="255F47F5"/>
    <w:rsid w:val="25697422"/>
    <w:rsid w:val="25893620"/>
    <w:rsid w:val="25956469"/>
    <w:rsid w:val="25C40884"/>
    <w:rsid w:val="25CE54D7"/>
    <w:rsid w:val="25D743E8"/>
    <w:rsid w:val="25F34F3E"/>
    <w:rsid w:val="26045A65"/>
    <w:rsid w:val="260D24A3"/>
    <w:rsid w:val="26681488"/>
    <w:rsid w:val="267C5B49"/>
    <w:rsid w:val="26812549"/>
    <w:rsid w:val="26C03072"/>
    <w:rsid w:val="26CA2405"/>
    <w:rsid w:val="26CA3C6B"/>
    <w:rsid w:val="26D0702D"/>
    <w:rsid w:val="26DF2803"/>
    <w:rsid w:val="26F23A17"/>
    <w:rsid w:val="26FB36B5"/>
    <w:rsid w:val="26FBA2A8"/>
    <w:rsid w:val="270513CC"/>
    <w:rsid w:val="27053BA1"/>
    <w:rsid w:val="27054F28"/>
    <w:rsid w:val="271335CC"/>
    <w:rsid w:val="273870AC"/>
    <w:rsid w:val="2747517D"/>
    <w:rsid w:val="27541A0C"/>
    <w:rsid w:val="275C4285"/>
    <w:rsid w:val="276D9525"/>
    <w:rsid w:val="27840543"/>
    <w:rsid w:val="278D0B1C"/>
    <w:rsid w:val="2795132E"/>
    <w:rsid w:val="27AC61A6"/>
    <w:rsid w:val="27BE1A00"/>
    <w:rsid w:val="27C46B92"/>
    <w:rsid w:val="27E2526A"/>
    <w:rsid w:val="27F867D6"/>
    <w:rsid w:val="2810627B"/>
    <w:rsid w:val="282E04AF"/>
    <w:rsid w:val="28314C77"/>
    <w:rsid w:val="28437DD2"/>
    <w:rsid w:val="284B3BC6"/>
    <w:rsid w:val="284D4DD9"/>
    <w:rsid w:val="285717B4"/>
    <w:rsid w:val="287E31E4"/>
    <w:rsid w:val="288D28A0"/>
    <w:rsid w:val="28C040D7"/>
    <w:rsid w:val="28E3573D"/>
    <w:rsid w:val="29014904"/>
    <w:rsid w:val="290A4A78"/>
    <w:rsid w:val="291B4D8D"/>
    <w:rsid w:val="291E6775"/>
    <w:rsid w:val="29876F2A"/>
    <w:rsid w:val="298F0757"/>
    <w:rsid w:val="29916F47"/>
    <w:rsid w:val="29AD68CD"/>
    <w:rsid w:val="29B34EBE"/>
    <w:rsid w:val="29C81F34"/>
    <w:rsid w:val="29C9048F"/>
    <w:rsid w:val="29C94933"/>
    <w:rsid w:val="29C966E1"/>
    <w:rsid w:val="29EF52A8"/>
    <w:rsid w:val="29FE7C85"/>
    <w:rsid w:val="2A1536D4"/>
    <w:rsid w:val="2A1F27A5"/>
    <w:rsid w:val="2A38600C"/>
    <w:rsid w:val="2A433375"/>
    <w:rsid w:val="2A524BB8"/>
    <w:rsid w:val="2A550017"/>
    <w:rsid w:val="2A58199C"/>
    <w:rsid w:val="2A750617"/>
    <w:rsid w:val="2A8B1BE9"/>
    <w:rsid w:val="2AA66A22"/>
    <w:rsid w:val="2AAD47DB"/>
    <w:rsid w:val="2AB70C30"/>
    <w:rsid w:val="2ABB0AD6"/>
    <w:rsid w:val="2ABBFE3D"/>
    <w:rsid w:val="2ADC5FDE"/>
    <w:rsid w:val="2AE5754B"/>
    <w:rsid w:val="2AF33295"/>
    <w:rsid w:val="2AFE7032"/>
    <w:rsid w:val="2B22254D"/>
    <w:rsid w:val="2B2E55A4"/>
    <w:rsid w:val="2B395A48"/>
    <w:rsid w:val="2B3F4BC7"/>
    <w:rsid w:val="2B4364E4"/>
    <w:rsid w:val="2B5E4A9B"/>
    <w:rsid w:val="2B6C6590"/>
    <w:rsid w:val="2B711D54"/>
    <w:rsid w:val="2B746B6B"/>
    <w:rsid w:val="2B830B12"/>
    <w:rsid w:val="2B9845BD"/>
    <w:rsid w:val="2BA32F62"/>
    <w:rsid w:val="2BB974A6"/>
    <w:rsid w:val="2BBDE124"/>
    <w:rsid w:val="2BBEF0F6"/>
    <w:rsid w:val="2BD7AAB7"/>
    <w:rsid w:val="2BE93B45"/>
    <w:rsid w:val="2BEB6DE3"/>
    <w:rsid w:val="2BFE8D74"/>
    <w:rsid w:val="2C0061F6"/>
    <w:rsid w:val="2C0B675B"/>
    <w:rsid w:val="2C166C57"/>
    <w:rsid w:val="2C26606D"/>
    <w:rsid w:val="2C276622"/>
    <w:rsid w:val="2C3F0EDD"/>
    <w:rsid w:val="2C445175"/>
    <w:rsid w:val="2C5B48ED"/>
    <w:rsid w:val="2C8E72AF"/>
    <w:rsid w:val="2C9245D9"/>
    <w:rsid w:val="2CAB0320"/>
    <w:rsid w:val="2CC94C4A"/>
    <w:rsid w:val="2CDE06F5"/>
    <w:rsid w:val="2CE51A84"/>
    <w:rsid w:val="2CE51C0C"/>
    <w:rsid w:val="2CF80D94"/>
    <w:rsid w:val="2CFF241A"/>
    <w:rsid w:val="2D057017"/>
    <w:rsid w:val="2D241B95"/>
    <w:rsid w:val="2D3622E0"/>
    <w:rsid w:val="2D5FF579"/>
    <w:rsid w:val="2D676152"/>
    <w:rsid w:val="2D6D0895"/>
    <w:rsid w:val="2D7A791D"/>
    <w:rsid w:val="2D894942"/>
    <w:rsid w:val="2D937732"/>
    <w:rsid w:val="2D9611B0"/>
    <w:rsid w:val="2DCC054E"/>
    <w:rsid w:val="2DD12008"/>
    <w:rsid w:val="2DD762D4"/>
    <w:rsid w:val="2DE97352"/>
    <w:rsid w:val="2DF51B3E"/>
    <w:rsid w:val="2DF9011D"/>
    <w:rsid w:val="2DFF736A"/>
    <w:rsid w:val="2E057F04"/>
    <w:rsid w:val="2E0F48DF"/>
    <w:rsid w:val="2E254102"/>
    <w:rsid w:val="2E533F2E"/>
    <w:rsid w:val="2E634685"/>
    <w:rsid w:val="2E6DFA4A"/>
    <w:rsid w:val="2E7115D2"/>
    <w:rsid w:val="2E8B010F"/>
    <w:rsid w:val="2E9279E9"/>
    <w:rsid w:val="2EB01C1E"/>
    <w:rsid w:val="2EB14AC9"/>
    <w:rsid w:val="2EBF70A2"/>
    <w:rsid w:val="2EC95487"/>
    <w:rsid w:val="2ED6C163"/>
    <w:rsid w:val="2EDB4A4F"/>
    <w:rsid w:val="2EDD53C7"/>
    <w:rsid w:val="2EEB2C56"/>
    <w:rsid w:val="2EED42B0"/>
    <w:rsid w:val="2EF14422"/>
    <w:rsid w:val="2EFE06F0"/>
    <w:rsid w:val="2EFE08A5"/>
    <w:rsid w:val="2F0838D7"/>
    <w:rsid w:val="2F0B154A"/>
    <w:rsid w:val="2F2B1BEC"/>
    <w:rsid w:val="2F3A3A5B"/>
    <w:rsid w:val="2F4862FA"/>
    <w:rsid w:val="2F4E5E68"/>
    <w:rsid w:val="2F4F7689"/>
    <w:rsid w:val="2F503401"/>
    <w:rsid w:val="2F522CD5"/>
    <w:rsid w:val="2F582AB9"/>
    <w:rsid w:val="2F5922B5"/>
    <w:rsid w:val="2F64751A"/>
    <w:rsid w:val="2F7C90C2"/>
    <w:rsid w:val="2F8618AF"/>
    <w:rsid w:val="2F8E37FE"/>
    <w:rsid w:val="2FA87BCF"/>
    <w:rsid w:val="2FB913AA"/>
    <w:rsid w:val="2FBE480E"/>
    <w:rsid w:val="2FBF4190"/>
    <w:rsid w:val="2FC7A079"/>
    <w:rsid w:val="2FCA1C29"/>
    <w:rsid w:val="2FDBBB96"/>
    <w:rsid w:val="2FEA73B1"/>
    <w:rsid w:val="2FF79A8C"/>
    <w:rsid w:val="2FFBB098"/>
    <w:rsid w:val="2FFE2E5D"/>
    <w:rsid w:val="2FFFA1B5"/>
    <w:rsid w:val="300A35B0"/>
    <w:rsid w:val="301147E7"/>
    <w:rsid w:val="30185CCC"/>
    <w:rsid w:val="301E705B"/>
    <w:rsid w:val="304E5637"/>
    <w:rsid w:val="306153F0"/>
    <w:rsid w:val="30627EB2"/>
    <w:rsid w:val="3079384E"/>
    <w:rsid w:val="3086589E"/>
    <w:rsid w:val="30AE5610"/>
    <w:rsid w:val="30BF25EC"/>
    <w:rsid w:val="30C9346B"/>
    <w:rsid w:val="30E72AA4"/>
    <w:rsid w:val="30EB33E1"/>
    <w:rsid w:val="30EB3DF5"/>
    <w:rsid w:val="30F41A26"/>
    <w:rsid w:val="30FB1EEF"/>
    <w:rsid w:val="311760F0"/>
    <w:rsid w:val="31283BAD"/>
    <w:rsid w:val="312C5B95"/>
    <w:rsid w:val="312F7772"/>
    <w:rsid w:val="31450646"/>
    <w:rsid w:val="31701B38"/>
    <w:rsid w:val="31730C92"/>
    <w:rsid w:val="317A1060"/>
    <w:rsid w:val="318178A1"/>
    <w:rsid w:val="318D3859"/>
    <w:rsid w:val="318F0210"/>
    <w:rsid w:val="319C2C11"/>
    <w:rsid w:val="31BA941B"/>
    <w:rsid w:val="31C06DED"/>
    <w:rsid w:val="31CCE322"/>
    <w:rsid w:val="31EB42FD"/>
    <w:rsid w:val="31F77B64"/>
    <w:rsid w:val="31FFBD4B"/>
    <w:rsid w:val="32264805"/>
    <w:rsid w:val="322748ED"/>
    <w:rsid w:val="323E2610"/>
    <w:rsid w:val="323E27EF"/>
    <w:rsid w:val="323F6859"/>
    <w:rsid w:val="324F1925"/>
    <w:rsid w:val="32507FA9"/>
    <w:rsid w:val="325A081E"/>
    <w:rsid w:val="326C3A22"/>
    <w:rsid w:val="326C5BD9"/>
    <w:rsid w:val="32733BBE"/>
    <w:rsid w:val="328715D8"/>
    <w:rsid w:val="32917FB8"/>
    <w:rsid w:val="32952427"/>
    <w:rsid w:val="32A95302"/>
    <w:rsid w:val="32C22771"/>
    <w:rsid w:val="32D305D1"/>
    <w:rsid w:val="32DE5F29"/>
    <w:rsid w:val="32FE7DFC"/>
    <w:rsid w:val="33024A12"/>
    <w:rsid w:val="33044C2E"/>
    <w:rsid w:val="33136C1F"/>
    <w:rsid w:val="33435756"/>
    <w:rsid w:val="3357491A"/>
    <w:rsid w:val="335F1E64"/>
    <w:rsid w:val="33633703"/>
    <w:rsid w:val="33787A68"/>
    <w:rsid w:val="337BFE93"/>
    <w:rsid w:val="33945FB2"/>
    <w:rsid w:val="339A10EE"/>
    <w:rsid w:val="33A67A93"/>
    <w:rsid w:val="33C10429"/>
    <w:rsid w:val="33C42A1B"/>
    <w:rsid w:val="33D26ADA"/>
    <w:rsid w:val="33E800AC"/>
    <w:rsid w:val="33F20F2A"/>
    <w:rsid w:val="33FC4962"/>
    <w:rsid w:val="33FE7C08"/>
    <w:rsid w:val="34010D5F"/>
    <w:rsid w:val="340A6274"/>
    <w:rsid w:val="340B5133"/>
    <w:rsid w:val="341430B6"/>
    <w:rsid w:val="342E09E7"/>
    <w:rsid w:val="343A3058"/>
    <w:rsid w:val="34727D99"/>
    <w:rsid w:val="347A74EC"/>
    <w:rsid w:val="348203CC"/>
    <w:rsid w:val="349F537B"/>
    <w:rsid w:val="34AC3DB4"/>
    <w:rsid w:val="34CF357E"/>
    <w:rsid w:val="34DB1DB1"/>
    <w:rsid w:val="34E05CA8"/>
    <w:rsid w:val="34F02221"/>
    <w:rsid w:val="35302991"/>
    <w:rsid w:val="3538296D"/>
    <w:rsid w:val="35413F8B"/>
    <w:rsid w:val="355C72A4"/>
    <w:rsid w:val="355D316E"/>
    <w:rsid w:val="356D0868"/>
    <w:rsid w:val="356F7A0B"/>
    <w:rsid w:val="35725531"/>
    <w:rsid w:val="358108B8"/>
    <w:rsid w:val="3592454D"/>
    <w:rsid w:val="359C2EFC"/>
    <w:rsid w:val="35A40002"/>
    <w:rsid w:val="35BC70FA"/>
    <w:rsid w:val="35C661CB"/>
    <w:rsid w:val="35CE2D9F"/>
    <w:rsid w:val="35DD18F2"/>
    <w:rsid w:val="35EE1E72"/>
    <w:rsid w:val="35F01D0A"/>
    <w:rsid w:val="35F03BCB"/>
    <w:rsid w:val="35FA7C22"/>
    <w:rsid w:val="36013D27"/>
    <w:rsid w:val="360A4DCA"/>
    <w:rsid w:val="360B5C5A"/>
    <w:rsid w:val="360E6996"/>
    <w:rsid w:val="36140DB4"/>
    <w:rsid w:val="36210699"/>
    <w:rsid w:val="363455EF"/>
    <w:rsid w:val="363932F5"/>
    <w:rsid w:val="36592B9B"/>
    <w:rsid w:val="3671975B"/>
    <w:rsid w:val="3677B779"/>
    <w:rsid w:val="36BDA3CF"/>
    <w:rsid w:val="36DCF258"/>
    <w:rsid w:val="36DD2AC6"/>
    <w:rsid w:val="36DD60B9"/>
    <w:rsid w:val="36DF3B22"/>
    <w:rsid w:val="36EF3E07"/>
    <w:rsid w:val="36F3587E"/>
    <w:rsid w:val="376C1798"/>
    <w:rsid w:val="377B03DF"/>
    <w:rsid w:val="377F0D27"/>
    <w:rsid w:val="377F9C66"/>
    <w:rsid w:val="37901FA4"/>
    <w:rsid w:val="37921A55"/>
    <w:rsid w:val="37AC319E"/>
    <w:rsid w:val="37B92DBF"/>
    <w:rsid w:val="37BE420D"/>
    <w:rsid w:val="37BFE67C"/>
    <w:rsid w:val="37C91FA2"/>
    <w:rsid w:val="37DA2D19"/>
    <w:rsid w:val="37DD5B07"/>
    <w:rsid w:val="37DF3673"/>
    <w:rsid w:val="37ED3742"/>
    <w:rsid w:val="37FFE89C"/>
    <w:rsid w:val="380134EA"/>
    <w:rsid w:val="38084878"/>
    <w:rsid w:val="381217C1"/>
    <w:rsid w:val="38275F04"/>
    <w:rsid w:val="382825A2"/>
    <w:rsid w:val="38324623"/>
    <w:rsid w:val="38367638"/>
    <w:rsid w:val="3846C1D3"/>
    <w:rsid w:val="3848736B"/>
    <w:rsid w:val="38703718"/>
    <w:rsid w:val="38A722E3"/>
    <w:rsid w:val="38C509BB"/>
    <w:rsid w:val="38DD7FCB"/>
    <w:rsid w:val="38E7BA92"/>
    <w:rsid w:val="38E7D2D9"/>
    <w:rsid w:val="38E828EC"/>
    <w:rsid w:val="390E2362"/>
    <w:rsid w:val="391B4A7F"/>
    <w:rsid w:val="3929719C"/>
    <w:rsid w:val="39331DC9"/>
    <w:rsid w:val="39445D84"/>
    <w:rsid w:val="39510D4E"/>
    <w:rsid w:val="3960174E"/>
    <w:rsid w:val="397C6722"/>
    <w:rsid w:val="397D3044"/>
    <w:rsid w:val="39833A74"/>
    <w:rsid w:val="398B1A7C"/>
    <w:rsid w:val="3993B29E"/>
    <w:rsid w:val="39A305F6"/>
    <w:rsid w:val="39AE53BD"/>
    <w:rsid w:val="39B93E43"/>
    <w:rsid w:val="39C24491"/>
    <w:rsid w:val="39D569DC"/>
    <w:rsid w:val="39D76BF8"/>
    <w:rsid w:val="39D92970"/>
    <w:rsid w:val="39DBD5F7"/>
    <w:rsid w:val="39DF489D"/>
    <w:rsid w:val="39F32047"/>
    <w:rsid w:val="39FD20B6"/>
    <w:rsid w:val="39FF5BF1"/>
    <w:rsid w:val="3A044A33"/>
    <w:rsid w:val="3A5107CE"/>
    <w:rsid w:val="3A663AD8"/>
    <w:rsid w:val="3A773F37"/>
    <w:rsid w:val="3A960861"/>
    <w:rsid w:val="3A9E3272"/>
    <w:rsid w:val="3AA50AA5"/>
    <w:rsid w:val="3AA83E0F"/>
    <w:rsid w:val="3AB47941"/>
    <w:rsid w:val="3AB84718"/>
    <w:rsid w:val="3ABE3914"/>
    <w:rsid w:val="3AC54CA3"/>
    <w:rsid w:val="3ADEDC4D"/>
    <w:rsid w:val="3AE72E6B"/>
    <w:rsid w:val="3AE94535"/>
    <w:rsid w:val="3AF15A98"/>
    <w:rsid w:val="3AFF438F"/>
    <w:rsid w:val="3AFF6407"/>
    <w:rsid w:val="3B0B2BCE"/>
    <w:rsid w:val="3B1654FE"/>
    <w:rsid w:val="3B3F51A6"/>
    <w:rsid w:val="3B4F775C"/>
    <w:rsid w:val="3B675D5A"/>
    <w:rsid w:val="3B79CCD9"/>
    <w:rsid w:val="3B95DEB1"/>
    <w:rsid w:val="3B9E0924"/>
    <w:rsid w:val="3BA90120"/>
    <w:rsid w:val="3BAC7C11"/>
    <w:rsid w:val="3BAFBCEE"/>
    <w:rsid w:val="3BB033FD"/>
    <w:rsid w:val="3BC211B5"/>
    <w:rsid w:val="3BC34D62"/>
    <w:rsid w:val="3BCF8236"/>
    <w:rsid w:val="3BCFE831"/>
    <w:rsid w:val="3BD80A06"/>
    <w:rsid w:val="3BD92B20"/>
    <w:rsid w:val="3BDDE8F5"/>
    <w:rsid w:val="3BDF3FB7"/>
    <w:rsid w:val="3BDFC8B8"/>
    <w:rsid w:val="3BF42DDD"/>
    <w:rsid w:val="3BF44191"/>
    <w:rsid w:val="3BF65261"/>
    <w:rsid w:val="3BF78E5A"/>
    <w:rsid w:val="3BFBE2C6"/>
    <w:rsid w:val="3BFEBF9E"/>
    <w:rsid w:val="3C023669"/>
    <w:rsid w:val="3C073099"/>
    <w:rsid w:val="3C3025F0"/>
    <w:rsid w:val="3C5502A8"/>
    <w:rsid w:val="3C6E4EC6"/>
    <w:rsid w:val="3CC71D12"/>
    <w:rsid w:val="3CD25455"/>
    <w:rsid w:val="3CE412A1"/>
    <w:rsid w:val="3CFDF672"/>
    <w:rsid w:val="3D0147AF"/>
    <w:rsid w:val="3D1A58A4"/>
    <w:rsid w:val="3D202664"/>
    <w:rsid w:val="3D5D21DD"/>
    <w:rsid w:val="3D690E58"/>
    <w:rsid w:val="3D6D0D53"/>
    <w:rsid w:val="3D6F20D6"/>
    <w:rsid w:val="3D6F6B81"/>
    <w:rsid w:val="3D71E63E"/>
    <w:rsid w:val="3D74650C"/>
    <w:rsid w:val="3D7B9E0E"/>
    <w:rsid w:val="3D7D3613"/>
    <w:rsid w:val="3D7DB818"/>
    <w:rsid w:val="3D7E07E4"/>
    <w:rsid w:val="3D8B8DA3"/>
    <w:rsid w:val="3DAB4EF3"/>
    <w:rsid w:val="3DAEE9FC"/>
    <w:rsid w:val="3DBE1674"/>
    <w:rsid w:val="3DBF4151"/>
    <w:rsid w:val="3DBFDAA9"/>
    <w:rsid w:val="3DD3A762"/>
    <w:rsid w:val="3DD85DBD"/>
    <w:rsid w:val="3DDE44DC"/>
    <w:rsid w:val="3DDE5B5C"/>
    <w:rsid w:val="3DDFCBC5"/>
    <w:rsid w:val="3DE22AA9"/>
    <w:rsid w:val="3DE82F42"/>
    <w:rsid w:val="3DEC9DD8"/>
    <w:rsid w:val="3DEF5426"/>
    <w:rsid w:val="3DEFBF16"/>
    <w:rsid w:val="3DF71617"/>
    <w:rsid w:val="3DFAA4E9"/>
    <w:rsid w:val="3DFADF72"/>
    <w:rsid w:val="3DFF578C"/>
    <w:rsid w:val="3DFF6133"/>
    <w:rsid w:val="3DFF896D"/>
    <w:rsid w:val="3E03620E"/>
    <w:rsid w:val="3E1F291C"/>
    <w:rsid w:val="3E2D4DCE"/>
    <w:rsid w:val="3E2E7003"/>
    <w:rsid w:val="3E3AFC71"/>
    <w:rsid w:val="3E3D0F90"/>
    <w:rsid w:val="3E3F71B2"/>
    <w:rsid w:val="3E5706E1"/>
    <w:rsid w:val="3E6447D3"/>
    <w:rsid w:val="3E6842C3"/>
    <w:rsid w:val="3E6D4B32"/>
    <w:rsid w:val="3E7A5DA4"/>
    <w:rsid w:val="3E7C173E"/>
    <w:rsid w:val="3E8167BF"/>
    <w:rsid w:val="3E8804C1"/>
    <w:rsid w:val="3E9F1779"/>
    <w:rsid w:val="3EB95714"/>
    <w:rsid w:val="3ED647C9"/>
    <w:rsid w:val="3EDDDCEA"/>
    <w:rsid w:val="3EDFCC44"/>
    <w:rsid w:val="3EEB5A1A"/>
    <w:rsid w:val="3EED4F7E"/>
    <w:rsid w:val="3EF6616E"/>
    <w:rsid w:val="3EFA027F"/>
    <w:rsid w:val="3EFD36E5"/>
    <w:rsid w:val="3EFE6C90"/>
    <w:rsid w:val="3F374CD8"/>
    <w:rsid w:val="3F3C5553"/>
    <w:rsid w:val="3F47037C"/>
    <w:rsid w:val="3F4C6079"/>
    <w:rsid w:val="3F5F7323"/>
    <w:rsid w:val="3F626F64"/>
    <w:rsid w:val="3F652DE3"/>
    <w:rsid w:val="3F677536"/>
    <w:rsid w:val="3F6A5D77"/>
    <w:rsid w:val="3F761F4F"/>
    <w:rsid w:val="3F7E49BC"/>
    <w:rsid w:val="3F7F84E5"/>
    <w:rsid w:val="3F7F8917"/>
    <w:rsid w:val="3F823162"/>
    <w:rsid w:val="3F9CEC81"/>
    <w:rsid w:val="3F9F0F97"/>
    <w:rsid w:val="3FA2E0D1"/>
    <w:rsid w:val="3FAF82C2"/>
    <w:rsid w:val="3FC92B3F"/>
    <w:rsid w:val="3FDB4C78"/>
    <w:rsid w:val="3FDD483D"/>
    <w:rsid w:val="3FDF0436"/>
    <w:rsid w:val="3FDF932A"/>
    <w:rsid w:val="3FDF9D60"/>
    <w:rsid w:val="3FE710E5"/>
    <w:rsid w:val="3FEC2665"/>
    <w:rsid w:val="3FEC9026"/>
    <w:rsid w:val="3FEE175D"/>
    <w:rsid w:val="3FEF0D3E"/>
    <w:rsid w:val="3FF1E5B4"/>
    <w:rsid w:val="3FF5FE2C"/>
    <w:rsid w:val="3FF940E2"/>
    <w:rsid w:val="3FFBA89D"/>
    <w:rsid w:val="3FFC54F5"/>
    <w:rsid w:val="3FFCD324"/>
    <w:rsid w:val="3FFF7685"/>
    <w:rsid w:val="3FFFE843"/>
    <w:rsid w:val="40222DB8"/>
    <w:rsid w:val="40275AB8"/>
    <w:rsid w:val="402D7572"/>
    <w:rsid w:val="404C7FFE"/>
    <w:rsid w:val="40570838"/>
    <w:rsid w:val="4061546E"/>
    <w:rsid w:val="406C796F"/>
    <w:rsid w:val="4070745F"/>
    <w:rsid w:val="40826E44"/>
    <w:rsid w:val="409F0EF9"/>
    <w:rsid w:val="40BE466E"/>
    <w:rsid w:val="40C672BD"/>
    <w:rsid w:val="40CE544A"/>
    <w:rsid w:val="40D64072"/>
    <w:rsid w:val="40E65423"/>
    <w:rsid w:val="410560B2"/>
    <w:rsid w:val="411A544C"/>
    <w:rsid w:val="41273ED0"/>
    <w:rsid w:val="41541635"/>
    <w:rsid w:val="41676AB4"/>
    <w:rsid w:val="4184568E"/>
    <w:rsid w:val="41875605"/>
    <w:rsid w:val="419249A3"/>
    <w:rsid w:val="41990073"/>
    <w:rsid w:val="419929E5"/>
    <w:rsid w:val="41B31CF9"/>
    <w:rsid w:val="41C37A62"/>
    <w:rsid w:val="41D23EF3"/>
    <w:rsid w:val="41D67795"/>
    <w:rsid w:val="41F52311"/>
    <w:rsid w:val="41FD20AF"/>
    <w:rsid w:val="422C1AAB"/>
    <w:rsid w:val="423F533B"/>
    <w:rsid w:val="4284421C"/>
    <w:rsid w:val="42875E5F"/>
    <w:rsid w:val="42C06165"/>
    <w:rsid w:val="42C121F4"/>
    <w:rsid w:val="42C31EE3"/>
    <w:rsid w:val="42DD6902"/>
    <w:rsid w:val="43120CA1"/>
    <w:rsid w:val="43174DB6"/>
    <w:rsid w:val="43193DDE"/>
    <w:rsid w:val="432739EA"/>
    <w:rsid w:val="433F20E0"/>
    <w:rsid w:val="43463975"/>
    <w:rsid w:val="43482B9E"/>
    <w:rsid w:val="435C016E"/>
    <w:rsid w:val="43762FDE"/>
    <w:rsid w:val="43832D3F"/>
    <w:rsid w:val="43AA2C88"/>
    <w:rsid w:val="43BB30E7"/>
    <w:rsid w:val="43BF1A99"/>
    <w:rsid w:val="43F959BD"/>
    <w:rsid w:val="43FE72E4"/>
    <w:rsid w:val="43FEA908"/>
    <w:rsid w:val="440B5E1C"/>
    <w:rsid w:val="442703CA"/>
    <w:rsid w:val="443B47E7"/>
    <w:rsid w:val="448E07FB"/>
    <w:rsid w:val="4493196E"/>
    <w:rsid w:val="449A0533"/>
    <w:rsid w:val="44BA7EF8"/>
    <w:rsid w:val="44C935E1"/>
    <w:rsid w:val="44F06DC0"/>
    <w:rsid w:val="45181E73"/>
    <w:rsid w:val="458C4D3B"/>
    <w:rsid w:val="4597723C"/>
    <w:rsid w:val="45A32084"/>
    <w:rsid w:val="45BF8735"/>
    <w:rsid w:val="45E1429E"/>
    <w:rsid w:val="45ED4BC5"/>
    <w:rsid w:val="45F24B09"/>
    <w:rsid w:val="461B1B25"/>
    <w:rsid w:val="46276812"/>
    <w:rsid w:val="46497FA3"/>
    <w:rsid w:val="465D0485"/>
    <w:rsid w:val="467A4511"/>
    <w:rsid w:val="46B61793"/>
    <w:rsid w:val="46C2653A"/>
    <w:rsid w:val="46C58069"/>
    <w:rsid w:val="46C7319D"/>
    <w:rsid w:val="46CE4EDF"/>
    <w:rsid w:val="46EA504C"/>
    <w:rsid w:val="46F00A12"/>
    <w:rsid w:val="46FA357B"/>
    <w:rsid w:val="46FA5CD4"/>
    <w:rsid w:val="47017063"/>
    <w:rsid w:val="47143CEC"/>
    <w:rsid w:val="472D60AA"/>
    <w:rsid w:val="473B3BEA"/>
    <w:rsid w:val="47473D96"/>
    <w:rsid w:val="47573126"/>
    <w:rsid w:val="47627C1E"/>
    <w:rsid w:val="477B5214"/>
    <w:rsid w:val="47906AF4"/>
    <w:rsid w:val="4790770A"/>
    <w:rsid w:val="47CEB38E"/>
    <w:rsid w:val="47E7A228"/>
    <w:rsid w:val="47EFC402"/>
    <w:rsid w:val="47F15B06"/>
    <w:rsid w:val="47F83B51"/>
    <w:rsid w:val="47FB61A8"/>
    <w:rsid w:val="47FE72A1"/>
    <w:rsid w:val="47FFD34A"/>
    <w:rsid w:val="48074B4D"/>
    <w:rsid w:val="48141018"/>
    <w:rsid w:val="482119F9"/>
    <w:rsid w:val="483D40CA"/>
    <w:rsid w:val="48592199"/>
    <w:rsid w:val="485F30DB"/>
    <w:rsid w:val="486B50EF"/>
    <w:rsid w:val="486C49B0"/>
    <w:rsid w:val="487A3570"/>
    <w:rsid w:val="487A796C"/>
    <w:rsid w:val="48B2119E"/>
    <w:rsid w:val="48B94760"/>
    <w:rsid w:val="48CA4989"/>
    <w:rsid w:val="48D24A38"/>
    <w:rsid w:val="48D3EEAC"/>
    <w:rsid w:val="48D72771"/>
    <w:rsid w:val="490F5119"/>
    <w:rsid w:val="495E8E57"/>
    <w:rsid w:val="497F0870"/>
    <w:rsid w:val="49962CC7"/>
    <w:rsid w:val="49A63EF1"/>
    <w:rsid w:val="49C76797"/>
    <w:rsid w:val="49D722FD"/>
    <w:rsid w:val="49EF3428"/>
    <w:rsid w:val="49F5B93F"/>
    <w:rsid w:val="49FCFB12"/>
    <w:rsid w:val="49FD17CB"/>
    <w:rsid w:val="4A113A61"/>
    <w:rsid w:val="4A1221C3"/>
    <w:rsid w:val="4A203CA4"/>
    <w:rsid w:val="4A545385"/>
    <w:rsid w:val="4A6E3AAD"/>
    <w:rsid w:val="4A6F21D0"/>
    <w:rsid w:val="4A7527EF"/>
    <w:rsid w:val="4A755B2C"/>
    <w:rsid w:val="4A7E795B"/>
    <w:rsid w:val="4A8136F7"/>
    <w:rsid w:val="4A857FAB"/>
    <w:rsid w:val="4AAA27A1"/>
    <w:rsid w:val="4AAD3147"/>
    <w:rsid w:val="4ABB5780"/>
    <w:rsid w:val="4AC42881"/>
    <w:rsid w:val="4AC66F94"/>
    <w:rsid w:val="4AD46071"/>
    <w:rsid w:val="4AD55208"/>
    <w:rsid w:val="4B052E99"/>
    <w:rsid w:val="4B073AB3"/>
    <w:rsid w:val="4B1F4E7A"/>
    <w:rsid w:val="4B335C59"/>
    <w:rsid w:val="4B4345C3"/>
    <w:rsid w:val="4B645940"/>
    <w:rsid w:val="4B6B71A0"/>
    <w:rsid w:val="4B6DAED2"/>
    <w:rsid w:val="4B7047B7"/>
    <w:rsid w:val="4B904E59"/>
    <w:rsid w:val="4B9A1834"/>
    <w:rsid w:val="4BA93BA9"/>
    <w:rsid w:val="4BB806FC"/>
    <w:rsid w:val="4BC82845"/>
    <w:rsid w:val="4BD75998"/>
    <w:rsid w:val="4BE25153"/>
    <w:rsid w:val="4BEB4235"/>
    <w:rsid w:val="4BF779EC"/>
    <w:rsid w:val="4BFE34A8"/>
    <w:rsid w:val="4C0B0210"/>
    <w:rsid w:val="4C162AE3"/>
    <w:rsid w:val="4C3954F1"/>
    <w:rsid w:val="4C3C0B3D"/>
    <w:rsid w:val="4C734368"/>
    <w:rsid w:val="4C863FBC"/>
    <w:rsid w:val="4C8B2EC3"/>
    <w:rsid w:val="4CAC2535"/>
    <w:rsid w:val="4CC823D1"/>
    <w:rsid w:val="4CCF07D5"/>
    <w:rsid w:val="4CDE7E35"/>
    <w:rsid w:val="4CFF6095"/>
    <w:rsid w:val="4D137AF0"/>
    <w:rsid w:val="4D153868"/>
    <w:rsid w:val="4D17AEE2"/>
    <w:rsid w:val="4D2A6BE7"/>
    <w:rsid w:val="4D357A66"/>
    <w:rsid w:val="4D3F2693"/>
    <w:rsid w:val="4D5F4AE3"/>
    <w:rsid w:val="4D6A4C22"/>
    <w:rsid w:val="4D6C2B45"/>
    <w:rsid w:val="4D7B4C85"/>
    <w:rsid w:val="4D7D2408"/>
    <w:rsid w:val="4D9A550C"/>
    <w:rsid w:val="4DB46252"/>
    <w:rsid w:val="4DBDDDB8"/>
    <w:rsid w:val="4DE374C2"/>
    <w:rsid w:val="4DE83367"/>
    <w:rsid w:val="4DE84AD8"/>
    <w:rsid w:val="4DF0684F"/>
    <w:rsid w:val="4DF07E31"/>
    <w:rsid w:val="4DF21341"/>
    <w:rsid w:val="4E023E2F"/>
    <w:rsid w:val="4E160C17"/>
    <w:rsid w:val="4E1E499E"/>
    <w:rsid w:val="4E3221F7"/>
    <w:rsid w:val="4E4D7031"/>
    <w:rsid w:val="4E870795"/>
    <w:rsid w:val="4E882D43"/>
    <w:rsid w:val="4E8D7940"/>
    <w:rsid w:val="4E8F31A6"/>
    <w:rsid w:val="4E992D01"/>
    <w:rsid w:val="4EA218B8"/>
    <w:rsid w:val="4EB62E28"/>
    <w:rsid w:val="4EC217CD"/>
    <w:rsid w:val="4EDE3B07"/>
    <w:rsid w:val="4EE26FB6"/>
    <w:rsid w:val="4EFD1C56"/>
    <w:rsid w:val="4EFD2344"/>
    <w:rsid w:val="4F0E67C1"/>
    <w:rsid w:val="4F2002A2"/>
    <w:rsid w:val="4F244655"/>
    <w:rsid w:val="4F3E697A"/>
    <w:rsid w:val="4F6B3C13"/>
    <w:rsid w:val="4F7910CF"/>
    <w:rsid w:val="4F7A5C04"/>
    <w:rsid w:val="4F7F843D"/>
    <w:rsid w:val="4F8503F2"/>
    <w:rsid w:val="4F960564"/>
    <w:rsid w:val="4F9C201E"/>
    <w:rsid w:val="4FB05ACA"/>
    <w:rsid w:val="4FBFAFE2"/>
    <w:rsid w:val="4FC75F6B"/>
    <w:rsid w:val="4FCE7CFE"/>
    <w:rsid w:val="4FD12926"/>
    <w:rsid w:val="4FD298C4"/>
    <w:rsid w:val="4FD5108C"/>
    <w:rsid w:val="4FDFE1B7"/>
    <w:rsid w:val="4FE65048"/>
    <w:rsid w:val="4FFB79D9"/>
    <w:rsid w:val="4FFF1DA9"/>
    <w:rsid w:val="4FFFB221"/>
    <w:rsid w:val="501555F2"/>
    <w:rsid w:val="50212524"/>
    <w:rsid w:val="50300749"/>
    <w:rsid w:val="503009B9"/>
    <w:rsid w:val="503C5BB2"/>
    <w:rsid w:val="50442747"/>
    <w:rsid w:val="505A55D9"/>
    <w:rsid w:val="505C5BC8"/>
    <w:rsid w:val="507A1C34"/>
    <w:rsid w:val="507B60D8"/>
    <w:rsid w:val="508B003B"/>
    <w:rsid w:val="509251CF"/>
    <w:rsid w:val="50A11925"/>
    <w:rsid w:val="50CC06E1"/>
    <w:rsid w:val="50E025F7"/>
    <w:rsid w:val="50E772C9"/>
    <w:rsid w:val="50EF617E"/>
    <w:rsid w:val="50FF4692"/>
    <w:rsid w:val="510460CD"/>
    <w:rsid w:val="510C6D30"/>
    <w:rsid w:val="512A0CF2"/>
    <w:rsid w:val="512D063D"/>
    <w:rsid w:val="512F2A1E"/>
    <w:rsid w:val="512F2A2E"/>
    <w:rsid w:val="51340C78"/>
    <w:rsid w:val="51512C38"/>
    <w:rsid w:val="51733881"/>
    <w:rsid w:val="5187285A"/>
    <w:rsid w:val="518A40F8"/>
    <w:rsid w:val="51B7313F"/>
    <w:rsid w:val="51C34B2D"/>
    <w:rsid w:val="51D04201"/>
    <w:rsid w:val="51D6712E"/>
    <w:rsid w:val="51F55A16"/>
    <w:rsid w:val="52195BA8"/>
    <w:rsid w:val="52242CFD"/>
    <w:rsid w:val="524812D7"/>
    <w:rsid w:val="524E0C80"/>
    <w:rsid w:val="524F5A78"/>
    <w:rsid w:val="5276358C"/>
    <w:rsid w:val="52817153"/>
    <w:rsid w:val="52A35CC1"/>
    <w:rsid w:val="52AD3CA8"/>
    <w:rsid w:val="52ADF681"/>
    <w:rsid w:val="52C750D6"/>
    <w:rsid w:val="52EBE526"/>
    <w:rsid w:val="52F66901"/>
    <w:rsid w:val="52FBC40F"/>
    <w:rsid w:val="5333747D"/>
    <w:rsid w:val="53424C8B"/>
    <w:rsid w:val="535C0653"/>
    <w:rsid w:val="538F2AD2"/>
    <w:rsid w:val="53ABB82F"/>
    <w:rsid w:val="53BB67EB"/>
    <w:rsid w:val="53D17DBD"/>
    <w:rsid w:val="53DC3EE9"/>
    <w:rsid w:val="53DD76C1"/>
    <w:rsid w:val="54253D49"/>
    <w:rsid w:val="542E0AE8"/>
    <w:rsid w:val="543735C7"/>
    <w:rsid w:val="543D2A49"/>
    <w:rsid w:val="544C6A22"/>
    <w:rsid w:val="546E3C92"/>
    <w:rsid w:val="54796BCD"/>
    <w:rsid w:val="547F2AFB"/>
    <w:rsid w:val="54837309"/>
    <w:rsid w:val="54AD6A7C"/>
    <w:rsid w:val="54AE00FE"/>
    <w:rsid w:val="54F2623D"/>
    <w:rsid w:val="55071887"/>
    <w:rsid w:val="5529496E"/>
    <w:rsid w:val="554C3B9F"/>
    <w:rsid w:val="5579070C"/>
    <w:rsid w:val="55910870"/>
    <w:rsid w:val="55911EF9"/>
    <w:rsid w:val="55AE43E3"/>
    <w:rsid w:val="55B37702"/>
    <w:rsid w:val="55BD36B9"/>
    <w:rsid w:val="55BEF90E"/>
    <w:rsid w:val="55C776C9"/>
    <w:rsid w:val="55DD2158"/>
    <w:rsid w:val="55DD579E"/>
    <w:rsid w:val="55F1011F"/>
    <w:rsid w:val="561B7A15"/>
    <w:rsid w:val="561D19DF"/>
    <w:rsid w:val="56257BAD"/>
    <w:rsid w:val="56280E81"/>
    <w:rsid w:val="5648A21B"/>
    <w:rsid w:val="56552F27"/>
    <w:rsid w:val="565A678F"/>
    <w:rsid w:val="56644F18"/>
    <w:rsid w:val="56734D62"/>
    <w:rsid w:val="567809C3"/>
    <w:rsid w:val="568455BA"/>
    <w:rsid w:val="569772C6"/>
    <w:rsid w:val="56A417B8"/>
    <w:rsid w:val="56A649CB"/>
    <w:rsid w:val="56B52CCC"/>
    <w:rsid w:val="56BE3F0A"/>
    <w:rsid w:val="56E9C9BB"/>
    <w:rsid w:val="56F70A00"/>
    <w:rsid w:val="56FFD5CF"/>
    <w:rsid w:val="571C3A45"/>
    <w:rsid w:val="572440FC"/>
    <w:rsid w:val="572C440B"/>
    <w:rsid w:val="572F19CA"/>
    <w:rsid w:val="5732276C"/>
    <w:rsid w:val="5733742C"/>
    <w:rsid w:val="57649C59"/>
    <w:rsid w:val="576F9E0B"/>
    <w:rsid w:val="57763155"/>
    <w:rsid w:val="577D3A3B"/>
    <w:rsid w:val="577DD856"/>
    <w:rsid w:val="578B5B56"/>
    <w:rsid w:val="579BC33F"/>
    <w:rsid w:val="579C4AA3"/>
    <w:rsid w:val="57A60F1E"/>
    <w:rsid w:val="57AD6E42"/>
    <w:rsid w:val="57BBEF1F"/>
    <w:rsid w:val="57C2639A"/>
    <w:rsid w:val="57CFAC29"/>
    <w:rsid w:val="57DD567A"/>
    <w:rsid w:val="57DD74F5"/>
    <w:rsid w:val="57DFA1FA"/>
    <w:rsid w:val="57E355DD"/>
    <w:rsid w:val="57E9332B"/>
    <w:rsid w:val="57EEF9B5"/>
    <w:rsid w:val="57F203DF"/>
    <w:rsid w:val="57F759DD"/>
    <w:rsid w:val="580C5867"/>
    <w:rsid w:val="581E440A"/>
    <w:rsid w:val="581F5B44"/>
    <w:rsid w:val="58486EC0"/>
    <w:rsid w:val="58501BF8"/>
    <w:rsid w:val="5870229A"/>
    <w:rsid w:val="58823D7B"/>
    <w:rsid w:val="58AE691E"/>
    <w:rsid w:val="58CF40AC"/>
    <w:rsid w:val="58D03DCE"/>
    <w:rsid w:val="58D72319"/>
    <w:rsid w:val="58DD636B"/>
    <w:rsid w:val="58F9403E"/>
    <w:rsid w:val="5934151A"/>
    <w:rsid w:val="59535871"/>
    <w:rsid w:val="596D3369"/>
    <w:rsid w:val="597D4C6F"/>
    <w:rsid w:val="598A13F7"/>
    <w:rsid w:val="598F49CD"/>
    <w:rsid w:val="598FAB05"/>
    <w:rsid w:val="599F5B4C"/>
    <w:rsid w:val="59A71CEC"/>
    <w:rsid w:val="59BFE7EB"/>
    <w:rsid w:val="59C30817"/>
    <w:rsid w:val="59D269C0"/>
    <w:rsid w:val="59E64D34"/>
    <w:rsid w:val="59E7033A"/>
    <w:rsid w:val="59FA7A08"/>
    <w:rsid w:val="59FBB945"/>
    <w:rsid w:val="5A33357F"/>
    <w:rsid w:val="5A3D3F69"/>
    <w:rsid w:val="5A61633E"/>
    <w:rsid w:val="5A6B4FBF"/>
    <w:rsid w:val="5A830617"/>
    <w:rsid w:val="5A94DB34"/>
    <w:rsid w:val="5ABF655D"/>
    <w:rsid w:val="5ACB779B"/>
    <w:rsid w:val="5ADD8DA5"/>
    <w:rsid w:val="5AE1497E"/>
    <w:rsid w:val="5AEB9F01"/>
    <w:rsid w:val="5AFF97C0"/>
    <w:rsid w:val="5B0E59A4"/>
    <w:rsid w:val="5B411CCC"/>
    <w:rsid w:val="5B554F9C"/>
    <w:rsid w:val="5B7751BD"/>
    <w:rsid w:val="5B7F76B4"/>
    <w:rsid w:val="5B7FDEA3"/>
    <w:rsid w:val="5B9E711E"/>
    <w:rsid w:val="5B9F3637"/>
    <w:rsid w:val="5BA02E96"/>
    <w:rsid w:val="5BAC2185"/>
    <w:rsid w:val="5BBFBD0E"/>
    <w:rsid w:val="5BC07095"/>
    <w:rsid w:val="5BC621D1"/>
    <w:rsid w:val="5BC72979"/>
    <w:rsid w:val="5BCEC808"/>
    <w:rsid w:val="5BCF552A"/>
    <w:rsid w:val="5BCFE4A8"/>
    <w:rsid w:val="5BDE7BEB"/>
    <w:rsid w:val="5BDF208D"/>
    <w:rsid w:val="5BE20254"/>
    <w:rsid w:val="5BEF7602"/>
    <w:rsid w:val="5BF571A0"/>
    <w:rsid w:val="5BF7D110"/>
    <w:rsid w:val="5BFA675F"/>
    <w:rsid w:val="5BFF7D7F"/>
    <w:rsid w:val="5C06095B"/>
    <w:rsid w:val="5C2D0E7E"/>
    <w:rsid w:val="5C3B9C13"/>
    <w:rsid w:val="5C4F0530"/>
    <w:rsid w:val="5C626791"/>
    <w:rsid w:val="5C7EC1CB"/>
    <w:rsid w:val="5C9A1694"/>
    <w:rsid w:val="5CBFF3D6"/>
    <w:rsid w:val="5CC04E72"/>
    <w:rsid w:val="5CCB13A4"/>
    <w:rsid w:val="5CE932C3"/>
    <w:rsid w:val="5CE94B41"/>
    <w:rsid w:val="5CF10E39"/>
    <w:rsid w:val="5CF736F7"/>
    <w:rsid w:val="5D1B2EEB"/>
    <w:rsid w:val="5D1F7355"/>
    <w:rsid w:val="5D3012A3"/>
    <w:rsid w:val="5D3665F9"/>
    <w:rsid w:val="5D3D09DE"/>
    <w:rsid w:val="5D3D1125"/>
    <w:rsid w:val="5D3F3F28"/>
    <w:rsid w:val="5D5A1D38"/>
    <w:rsid w:val="5D72D551"/>
    <w:rsid w:val="5D7C6FEB"/>
    <w:rsid w:val="5D7DF4BB"/>
    <w:rsid w:val="5D7EB174"/>
    <w:rsid w:val="5D7F3B5D"/>
    <w:rsid w:val="5D7FDC8F"/>
    <w:rsid w:val="5D9044C1"/>
    <w:rsid w:val="5D9C2C6A"/>
    <w:rsid w:val="5DA12EF6"/>
    <w:rsid w:val="5DA21F9F"/>
    <w:rsid w:val="5DB03139"/>
    <w:rsid w:val="5DBE17B7"/>
    <w:rsid w:val="5DCA6804"/>
    <w:rsid w:val="5DDD1589"/>
    <w:rsid w:val="5DE74DAC"/>
    <w:rsid w:val="5DEBFC0E"/>
    <w:rsid w:val="5DF03535"/>
    <w:rsid w:val="5DF40267"/>
    <w:rsid w:val="5DF9688E"/>
    <w:rsid w:val="5DF98272"/>
    <w:rsid w:val="5DFA6826"/>
    <w:rsid w:val="5DFBCB47"/>
    <w:rsid w:val="5DFF0772"/>
    <w:rsid w:val="5DFF3585"/>
    <w:rsid w:val="5DFF83E9"/>
    <w:rsid w:val="5DFFCA0C"/>
    <w:rsid w:val="5DFFD0B8"/>
    <w:rsid w:val="5E113EF2"/>
    <w:rsid w:val="5E125B5B"/>
    <w:rsid w:val="5E171FBA"/>
    <w:rsid w:val="5E2002BE"/>
    <w:rsid w:val="5E2B1ECA"/>
    <w:rsid w:val="5E4E39A5"/>
    <w:rsid w:val="5E5D5D4A"/>
    <w:rsid w:val="5E6F9FA0"/>
    <w:rsid w:val="5E7D0DA0"/>
    <w:rsid w:val="5E7D74BF"/>
    <w:rsid w:val="5E9C6184"/>
    <w:rsid w:val="5EA5A643"/>
    <w:rsid w:val="5EB23E99"/>
    <w:rsid w:val="5EB6477F"/>
    <w:rsid w:val="5EB837F7"/>
    <w:rsid w:val="5EC727A1"/>
    <w:rsid w:val="5EEA2F47"/>
    <w:rsid w:val="5EF62DCD"/>
    <w:rsid w:val="5EF783CE"/>
    <w:rsid w:val="5EFE3040"/>
    <w:rsid w:val="5EFF1C82"/>
    <w:rsid w:val="5EFFF735"/>
    <w:rsid w:val="5F2564C4"/>
    <w:rsid w:val="5F2D5AF2"/>
    <w:rsid w:val="5F2ED7C0"/>
    <w:rsid w:val="5F32076D"/>
    <w:rsid w:val="5F395AC0"/>
    <w:rsid w:val="5F3E3BA7"/>
    <w:rsid w:val="5F3FB6B8"/>
    <w:rsid w:val="5F4B062F"/>
    <w:rsid w:val="5F506981"/>
    <w:rsid w:val="5F595B41"/>
    <w:rsid w:val="5F5FFB15"/>
    <w:rsid w:val="5F8D1984"/>
    <w:rsid w:val="5F8D302A"/>
    <w:rsid w:val="5F903FEE"/>
    <w:rsid w:val="5F954394"/>
    <w:rsid w:val="5F9E149B"/>
    <w:rsid w:val="5F9F5213"/>
    <w:rsid w:val="5FB40CBE"/>
    <w:rsid w:val="5FBD9CCF"/>
    <w:rsid w:val="5FBF0D01"/>
    <w:rsid w:val="5FCBE0CD"/>
    <w:rsid w:val="5FCF0789"/>
    <w:rsid w:val="5FCF5E81"/>
    <w:rsid w:val="5FCFA6EE"/>
    <w:rsid w:val="5FD0361E"/>
    <w:rsid w:val="5FD11396"/>
    <w:rsid w:val="5FD3F1D1"/>
    <w:rsid w:val="5FDE52A5"/>
    <w:rsid w:val="5FDF5119"/>
    <w:rsid w:val="5FDF5468"/>
    <w:rsid w:val="5FDFEA10"/>
    <w:rsid w:val="5FEE3037"/>
    <w:rsid w:val="5FEEB1DE"/>
    <w:rsid w:val="5FEF1D37"/>
    <w:rsid w:val="5FEF82E6"/>
    <w:rsid w:val="5FF68A26"/>
    <w:rsid w:val="5FF71E81"/>
    <w:rsid w:val="5FF74628"/>
    <w:rsid w:val="5FF7C08B"/>
    <w:rsid w:val="5FF83CD9"/>
    <w:rsid w:val="5FFC426B"/>
    <w:rsid w:val="5FFCB5EA"/>
    <w:rsid w:val="5FFCD1B0"/>
    <w:rsid w:val="5FFE364F"/>
    <w:rsid w:val="5FFEC24C"/>
    <w:rsid w:val="5FFF2A40"/>
    <w:rsid w:val="5FFF2F9A"/>
    <w:rsid w:val="5FFF8777"/>
    <w:rsid w:val="600357A2"/>
    <w:rsid w:val="600F0E5C"/>
    <w:rsid w:val="60681669"/>
    <w:rsid w:val="60917251"/>
    <w:rsid w:val="60B70B19"/>
    <w:rsid w:val="60D13AF2"/>
    <w:rsid w:val="60E70789"/>
    <w:rsid w:val="60EF5336"/>
    <w:rsid w:val="60FF41BB"/>
    <w:rsid w:val="6105554A"/>
    <w:rsid w:val="610C68D8"/>
    <w:rsid w:val="612956DC"/>
    <w:rsid w:val="61333E65"/>
    <w:rsid w:val="616D55C9"/>
    <w:rsid w:val="61737F26"/>
    <w:rsid w:val="61785D1C"/>
    <w:rsid w:val="618D4F71"/>
    <w:rsid w:val="618E553F"/>
    <w:rsid w:val="619F774C"/>
    <w:rsid w:val="61AC3BE0"/>
    <w:rsid w:val="61B50D1E"/>
    <w:rsid w:val="61B56E5F"/>
    <w:rsid w:val="61DD7CC8"/>
    <w:rsid w:val="61E31B3E"/>
    <w:rsid w:val="61E7A43B"/>
    <w:rsid w:val="61F53810"/>
    <w:rsid w:val="61FE279A"/>
    <w:rsid w:val="620D0B5A"/>
    <w:rsid w:val="622173D3"/>
    <w:rsid w:val="623823C2"/>
    <w:rsid w:val="62662018"/>
    <w:rsid w:val="626F653F"/>
    <w:rsid w:val="62774225"/>
    <w:rsid w:val="62B15989"/>
    <w:rsid w:val="62B9483E"/>
    <w:rsid w:val="62BDECD7"/>
    <w:rsid w:val="62C05E88"/>
    <w:rsid w:val="62DD0863"/>
    <w:rsid w:val="62DE70E7"/>
    <w:rsid w:val="62E80C7F"/>
    <w:rsid w:val="62F176D3"/>
    <w:rsid w:val="62FB30A8"/>
    <w:rsid w:val="630771C2"/>
    <w:rsid w:val="63220635"/>
    <w:rsid w:val="632B2557"/>
    <w:rsid w:val="633628B4"/>
    <w:rsid w:val="634F6AF8"/>
    <w:rsid w:val="6361115D"/>
    <w:rsid w:val="636D7F19"/>
    <w:rsid w:val="6385540D"/>
    <w:rsid w:val="6397717A"/>
    <w:rsid w:val="639A4013"/>
    <w:rsid w:val="63A96660"/>
    <w:rsid w:val="63AB0F21"/>
    <w:rsid w:val="63BC02BF"/>
    <w:rsid w:val="63C03386"/>
    <w:rsid w:val="63E47698"/>
    <w:rsid w:val="63E9534B"/>
    <w:rsid w:val="63EBE255"/>
    <w:rsid w:val="63F518A5"/>
    <w:rsid w:val="64046A6C"/>
    <w:rsid w:val="640E2967"/>
    <w:rsid w:val="64100C29"/>
    <w:rsid w:val="6439757E"/>
    <w:rsid w:val="643F0EC4"/>
    <w:rsid w:val="6443678C"/>
    <w:rsid w:val="644545DB"/>
    <w:rsid w:val="646E76FA"/>
    <w:rsid w:val="6470615B"/>
    <w:rsid w:val="6498769F"/>
    <w:rsid w:val="64AD2180"/>
    <w:rsid w:val="64BF6FE4"/>
    <w:rsid w:val="64C972DB"/>
    <w:rsid w:val="64D15E6F"/>
    <w:rsid w:val="64EA5182"/>
    <w:rsid w:val="651771F7"/>
    <w:rsid w:val="65297A59"/>
    <w:rsid w:val="652A1A23"/>
    <w:rsid w:val="65434626"/>
    <w:rsid w:val="65442FA6"/>
    <w:rsid w:val="6554602F"/>
    <w:rsid w:val="65627992"/>
    <w:rsid w:val="656F9102"/>
    <w:rsid w:val="657038D9"/>
    <w:rsid w:val="658B2578"/>
    <w:rsid w:val="65A43583"/>
    <w:rsid w:val="65AB66C0"/>
    <w:rsid w:val="65B06352"/>
    <w:rsid w:val="65B10C1A"/>
    <w:rsid w:val="65C21AB9"/>
    <w:rsid w:val="65C92FEA"/>
    <w:rsid w:val="65D379C4"/>
    <w:rsid w:val="65DAA214"/>
    <w:rsid w:val="65E47E23"/>
    <w:rsid w:val="65FB4E67"/>
    <w:rsid w:val="65FB8CFA"/>
    <w:rsid w:val="66215E2C"/>
    <w:rsid w:val="66384CA0"/>
    <w:rsid w:val="66397FD6"/>
    <w:rsid w:val="66452D95"/>
    <w:rsid w:val="66653253"/>
    <w:rsid w:val="66800A07"/>
    <w:rsid w:val="66861A1E"/>
    <w:rsid w:val="66987EC1"/>
    <w:rsid w:val="66A814C4"/>
    <w:rsid w:val="66E507FF"/>
    <w:rsid w:val="66E55C01"/>
    <w:rsid w:val="66EA76BB"/>
    <w:rsid w:val="66F422E8"/>
    <w:rsid w:val="6716225F"/>
    <w:rsid w:val="67276E44"/>
    <w:rsid w:val="672F2067"/>
    <w:rsid w:val="67334BE1"/>
    <w:rsid w:val="673B1CC5"/>
    <w:rsid w:val="674566A0"/>
    <w:rsid w:val="674A4AAC"/>
    <w:rsid w:val="674C58E1"/>
    <w:rsid w:val="6764746E"/>
    <w:rsid w:val="67654F94"/>
    <w:rsid w:val="67671DE6"/>
    <w:rsid w:val="676F5788"/>
    <w:rsid w:val="6773320D"/>
    <w:rsid w:val="677B827B"/>
    <w:rsid w:val="679A8797"/>
    <w:rsid w:val="679B09B6"/>
    <w:rsid w:val="67AE15F3"/>
    <w:rsid w:val="67B11AC7"/>
    <w:rsid w:val="67B99F40"/>
    <w:rsid w:val="67D57A24"/>
    <w:rsid w:val="67DB50ED"/>
    <w:rsid w:val="67E10ABE"/>
    <w:rsid w:val="67EB0254"/>
    <w:rsid w:val="67EB4B3E"/>
    <w:rsid w:val="67FC0216"/>
    <w:rsid w:val="68150768"/>
    <w:rsid w:val="68190258"/>
    <w:rsid w:val="68224C33"/>
    <w:rsid w:val="68264723"/>
    <w:rsid w:val="683E7CBF"/>
    <w:rsid w:val="684D1CB0"/>
    <w:rsid w:val="68566055"/>
    <w:rsid w:val="68754E33"/>
    <w:rsid w:val="687CF9E9"/>
    <w:rsid w:val="68993CC4"/>
    <w:rsid w:val="68AB4C28"/>
    <w:rsid w:val="68C31F72"/>
    <w:rsid w:val="68C85401"/>
    <w:rsid w:val="68CFD6FB"/>
    <w:rsid w:val="68EB7366"/>
    <w:rsid w:val="69087FA4"/>
    <w:rsid w:val="69262205"/>
    <w:rsid w:val="69286279"/>
    <w:rsid w:val="693D5B06"/>
    <w:rsid w:val="695B5228"/>
    <w:rsid w:val="697B284D"/>
    <w:rsid w:val="69C845BE"/>
    <w:rsid w:val="69D106BF"/>
    <w:rsid w:val="69F2982D"/>
    <w:rsid w:val="69F525FF"/>
    <w:rsid w:val="6A063043"/>
    <w:rsid w:val="6A0665BA"/>
    <w:rsid w:val="6A070573"/>
    <w:rsid w:val="6A116CBB"/>
    <w:rsid w:val="6A132A85"/>
    <w:rsid w:val="6A1A2F48"/>
    <w:rsid w:val="6A210EE3"/>
    <w:rsid w:val="6A274B68"/>
    <w:rsid w:val="6A445335"/>
    <w:rsid w:val="6A470981"/>
    <w:rsid w:val="6A5C612F"/>
    <w:rsid w:val="6A6172C3"/>
    <w:rsid w:val="6A67638F"/>
    <w:rsid w:val="6A7A6FA8"/>
    <w:rsid w:val="6A8E29C4"/>
    <w:rsid w:val="6AA33E09"/>
    <w:rsid w:val="6AA858C3"/>
    <w:rsid w:val="6AD246EE"/>
    <w:rsid w:val="6ADA17F5"/>
    <w:rsid w:val="6ADFE72A"/>
    <w:rsid w:val="6AE82164"/>
    <w:rsid w:val="6AEDCA0D"/>
    <w:rsid w:val="6AFE30DA"/>
    <w:rsid w:val="6AFF9AE6"/>
    <w:rsid w:val="6B031A6A"/>
    <w:rsid w:val="6B036F9E"/>
    <w:rsid w:val="6B054AC4"/>
    <w:rsid w:val="6B0828FC"/>
    <w:rsid w:val="6B146553"/>
    <w:rsid w:val="6B15611F"/>
    <w:rsid w:val="6B1E5312"/>
    <w:rsid w:val="6B243B55"/>
    <w:rsid w:val="6B250CC2"/>
    <w:rsid w:val="6B252A70"/>
    <w:rsid w:val="6B36510F"/>
    <w:rsid w:val="6B39476E"/>
    <w:rsid w:val="6B591FF2"/>
    <w:rsid w:val="6B5F72B3"/>
    <w:rsid w:val="6B6518A7"/>
    <w:rsid w:val="6B6FD7C9"/>
    <w:rsid w:val="6B92518A"/>
    <w:rsid w:val="6B9B71D6"/>
    <w:rsid w:val="6BB362CE"/>
    <w:rsid w:val="6BB713ED"/>
    <w:rsid w:val="6BBF2B30"/>
    <w:rsid w:val="6BE04219"/>
    <w:rsid w:val="6BF395BE"/>
    <w:rsid w:val="6BF3ABAB"/>
    <w:rsid w:val="6BF6AD35"/>
    <w:rsid w:val="6BF7A75D"/>
    <w:rsid w:val="6BF7B4F5"/>
    <w:rsid w:val="6BFF6C37"/>
    <w:rsid w:val="6C0F54CE"/>
    <w:rsid w:val="6C185AFC"/>
    <w:rsid w:val="6C1914F7"/>
    <w:rsid w:val="6C377615"/>
    <w:rsid w:val="6C4B5ACA"/>
    <w:rsid w:val="6C5465C2"/>
    <w:rsid w:val="6C613F7C"/>
    <w:rsid w:val="6C655162"/>
    <w:rsid w:val="6C6D7C02"/>
    <w:rsid w:val="6C9524CA"/>
    <w:rsid w:val="6C95296C"/>
    <w:rsid w:val="6C953260"/>
    <w:rsid w:val="6C9F043A"/>
    <w:rsid w:val="6CA8DD2A"/>
    <w:rsid w:val="6CBE7CD2"/>
    <w:rsid w:val="6CBF6F9C"/>
    <w:rsid w:val="6CF43042"/>
    <w:rsid w:val="6CFB2AA0"/>
    <w:rsid w:val="6CFC37BB"/>
    <w:rsid w:val="6CFEEC01"/>
    <w:rsid w:val="6CFF9F1A"/>
    <w:rsid w:val="6D080236"/>
    <w:rsid w:val="6D237483"/>
    <w:rsid w:val="6D4B3E56"/>
    <w:rsid w:val="6D6F34FA"/>
    <w:rsid w:val="6D7C0191"/>
    <w:rsid w:val="6D7DA36F"/>
    <w:rsid w:val="6D9D5488"/>
    <w:rsid w:val="6DA26001"/>
    <w:rsid w:val="6DA6120E"/>
    <w:rsid w:val="6DA87988"/>
    <w:rsid w:val="6DB57AF8"/>
    <w:rsid w:val="6DBF0440"/>
    <w:rsid w:val="6DC55174"/>
    <w:rsid w:val="6DD15131"/>
    <w:rsid w:val="6DDA0777"/>
    <w:rsid w:val="6DE64007"/>
    <w:rsid w:val="6DE94229"/>
    <w:rsid w:val="6DEF7D3C"/>
    <w:rsid w:val="6DF17581"/>
    <w:rsid w:val="6DF75457"/>
    <w:rsid w:val="6DFEC58B"/>
    <w:rsid w:val="6E0D4219"/>
    <w:rsid w:val="6E0E3AE0"/>
    <w:rsid w:val="6E1F5E9D"/>
    <w:rsid w:val="6E2B791C"/>
    <w:rsid w:val="6E2D45F5"/>
    <w:rsid w:val="6E367CB7"/>
    <w:rsid w:val="6E492F1A"/>
    <w:rsid w:val="6E4C74E1"/>
    <w:rsid w:val="6E5441C0"/>
    <w:rsid w:val="6E567079"/>
    <w:rsid w:val="6E590495"/>
    <w:rsid w:val="6E6265D7"/>
    <w:rsid w:val="6E755ABD"/>
    <w:rsid w:val="6E7AE9F9"/>
    <w:rsid w:val="6E7F9313"/>
    <w:rsid w:val="6E827A5B"/>
    <w:rsid w:val="6E8B52E0"/>
    <w:rsid w:val="6E8C1ACD"/>
    <w:rsid w:val="6EAF22F4"/>
    <w:rsid w:val="6EAF6E3C"/>
    <w:rsid w:val="6EB2713D"/>
    <w:rsid w:val="6EB78991"/>
    <w:rsid w:val="6EBA5BC5"/>
    <w:rsid w:val="6EEBF8BF"/>
    <w:rsid w:val="6EED04E6"/>
    <w:rsid w:val="6EEE6910"/>
    <w:rsid w:val="6EF9CF97"/>
    <w:rsid w:val="6EFAC1C5"/>
    <w:rsid w:val="6EFB0530"/>
    <w:rsid w:val="6EFEE646"/>
    <w:rsid w:val="6EFF0D1B"/>
    <w:rsid w:val="6F11702F"/>
    <w:rsid w:val="6F2F87A0"/>
    <w:rsid w:val="6F306A99"/>
    <w:rsid w:val="6F36D73B"/>
    <w:rsid w:val="6F374D78"/>
    <w:rsid w:val="6F3F6FE3"/>
    <w:rsid w:val="6F410095"/>
    <w:rsid w:val="6F5B19CB"/>
    <w:rsid w:val="6F5D94DF"/>
    <w:rsid w:val="6F624B48"/>
    <w:rsid w:val="6F775864"/>
    <w:rsid w:val="6F77ECE2"/>
    <w:rsid w:val="6F7C63CD"/>
    <w:rsid w:val="6F7E11F9"/>
    <w:rsid w:val="6F7E1CCF"/>
    <w:rsid w:val="6F7E91A6"/>
    <w:rsid w:val="6F951FFB"/>
    <w:rsid w:val="6FA06B69"/>
    <w:rsid w:val="6FA3607C"/>
    <w:rsid w:val="6FB37C42"/>
    <w:rsid w:val="6FB5BAC6"/>
    <w:rsid w:val="6FB64ABA"/>
    <w:rsid w:val="6FBEE349"/>
    <w:rsid w:val="6FBFA883"/>
    <w:rsid w:val="6FC22F83"/>
    <w:rsid w:val="6FC7950F"/>
    <w:rsid w:val="6FCD34DE"/>
    <w:rsid w:val="6FF13CE4"/>
    <w:rsid w:val="6FF73031"/>
    <w:rsid w:val="6FF78310"/>
    <w:rsid w:val="6FF86B81"/>
    <w:rsid w:val="6FFB6349"/>
    <w:rsid w:val="6FFB85E1"/>
    <w:rsid w:val="6FFBF91D"/>
    <w:rsid w:val="6FFC3779"/>
    <w:rsid w:val="6FFD3DE6"/>
    <w:rsid w:val="6FFDB65E"/>
    <w:rsid w:val="6FFE0593"/>
    <w:rsid w:val="6FFF43E3"/>
    <w:rsid w:val="70060EA7"/>
    <w:rsid w:val="70337945"/>
    <w:rsid w:val="703F25FE"/>
    <w:rsid w:val="704C4F43"/>
    <w:rsid w:val="705362D1"/>
    <w:rsid w:val="706D73ED"/>
    <w:rsid w:val="7090179C"/>
    <w:rsid w:val="70BF5715"/>
    <w:rsid w:val="70EB02B8"/>
    <w:rsid w:val="70EE7DA8"/>
    <w:rsid w:val="70F33611"/>
    <w:rsid w:val="71237A52"/>
    <w:rsid w:val="713D2B8A"/>
    <w:rsid w:val="717E2AFC"/>
    <w:rsid w:val="71876455"/>
    <w:rsid w:val="71883D59"/>
    <w:rsid w:val="71B51BC6"/>
    <w:rsid w:val="71BDBA5D"/>
    <w:rsid w:val="71CF1988"/>
    <w:rsid w:val="71E847F7"/>
    <w:rsid w:val="71EE1026"/>
    <w:rsid w:val="71EE7F96"/>
    <w:rsid w:val="71F47640"/>
    <w:rsid w:val="71F71048"/>
    <w:rsid w:val="7207056D"/>
    <w:rsid w:val="7214009F"/>
    <w:rsid w:val="721D26F3"/>
    <w:rsid w:val="72273FD8"/>
    <w:rsid w:val="723C15B4"/>
    <w:rsid w:val="7240096A"/>
    <w:rsid w:val="72434C03"/>
    <w:rsid w:val="724834E8"/>
    <w:rsid w:val="727814BF"/>
    <w:rsid w:val="727F2BE7"/>
    <w:rsid w:val="72BB3CBA"/>
    <w:rsid w:val="72BBCF31"/>
    <w:rsid w:val="72C2773E"/>
    <w:rsid w:val="72E30452"/>
    <w:rsid w:val="72F268BD"/>
    <w:rsid w:val="73171838"/>
    <w:rsid w:val="73243F55"/>
    <w:rsid w:val="7333D813"/>
    <w:rsid w:val="73566CAF"/>
    <w:rsid w:val="736D4A5B"/>
    <w:rsid w:val="737E2684"/>
    <w:rsid w:val="737F73DD"/>
    <w:rsid w:val="738A200A"/>
    <w:rsid w:val="739545B0"/>
    <w:rsid w:val="739642B4"/>
    <w:rsid w:val="739D4001"/>
    <w:rsid w:val="73A548AC"/>
    <w:rsid w:val="73AC6B8D"/>
    <w:rsid w:val="73BFE849"/>
    <w:rsid w:val="73D92B02"/>
    <w:rsid w:val="73DC213A"/>
    <w:rsid w:val="73DD73D3"/>
    <w:rsid w:val="73DE87A9"/>
    <w:rsid w:val="73DFB6F9"/>
    <w:rsid w:val="73E1339D"/>
    <w:rsid w:val="73E9BBBB"/>
    <w:rsid w:val="73ED4347"/>
    <w:rsid w:val="73EF6311"/>
    <w:rsid w:val="73EFA6A7"/>
    <w:rsid w:val="73F446DA"/>
    <w:rsid w:val="73FBC8C2"/>
    <w:rsid w:val="73FC0A2E"/>
    <w:rsid w:val="73FDC4D7"/>
    <w:rsid w:val="73FFD38C"/>
    <w:rsid w:val="74085E4C"/>
    <w:rsid w:val="74367A9C"/>
    <w:rsid w:val="7443040B"/>
    <w:rsid w:val="7455416E"/>
    <w:rsid w:val="745FEC01"/>
    <w:rsid w:val="74672863"/>
    <w:rsid w:val="747576D0"/>
    <w:rsid w:val="74980757"/>
    <w:rsid w:val="7499597A"/>
    <w:rsid w:val="74B0339C"/>
    <w:rsid w:val="74D176F1"/>
    <w:rsid w:val="74E67714"/>
    <w:rsid w:val="74E70A6C"/>
    <w:rsid w:val="753019CD"/>
    <w:rsid w:val="75662BEC"/>
    <w:rsid w:val="757943F6"/>
    <w:rsid w:val="75864A53"/>
    <w:rsid w:val="758E216C"/>
    <w:rsid w:val="759B0D3B"/>
    <w:rsid w:val="75B0387E"/>
    <w:rsid w:val="75B415C0"/>
    <w:rsid w:val="75B7A8B3"/>
    <w:rsid w:val="75BB2324"/>
    <w:rsid w:val="75BB32F3"/>
    <w:rsid w:val="75BF91F3"/>
    <w:rsid w:val="75BFB36F"/>
    <w:rsid w:val="75C34BC5"/>
    <w:rsid w:val="75CF0BE8"/>
    <w:rsid w:val="75DB2DD4"/>
    <w:rsid w:val="75DF3356"/>
    <w:rsid w:val="75E21BF7"/>
    <w:rsid w:val="75E5AEEB"/>
    <w:rsid w:val="75F73961"/>
    <w:rsid w:val="75FFD15E"/>
    <w:rsid w:val="760F67F7"/>
    <w:rsid w:val="76116CCA"/>
    <w:rsid w:val="76124ACA"/>
    <w:rsid w:val="762A53DF"/>
    <w:rsid w:val="76361FD5"/>
    <w:rsid w:val="763FD311"/>
    <w:rsid w:val="764741E2"/>
    <w:rsid w:val="765F1DDF"/>
    <w:rsid w:val="767EC160"/>
    <w:rsid w:val="768A78C9"/>
    <w:rsid w:val="76942AD0"/>
    <w:rsid w:val="76970870"/>
    <w:rsid w:val="76977310"/>
    <w:rsid w:val="76A7784F"/>
    <w:rsid w:val="76D35A76"/>
    <w:rsid w:val="76D4814F"/>
    <w:rsid w:val="76DC5219"/>
    <w:rsid w:val="76E25CB9"/>
    <w:rsid w:val="76E32214"/>
    <w:rsid w:val="76E6DC30"/>
    <w:rsid w:val="76E7EAA1"/>
    <w:rsid w:val="76E9529A"/>
    <w:rsid w:val="76EFE6AC"/>
    <w:rsid w:val="76F36118"/>
    <w:rsid w:val="76F6D916"/>
    <w:rsid w:val="76FB0293"/>
    <w:rsid w:val="76FD4733"/>
    <w:rsid w:val="76FF6A1E"/>
    <w:rsid w:val="76FF7DF0"/>
    <w:rsid w:val="771578FC"/>
    <w:rsid w:val="77204A34"/>
    <w:rsid w:val="77274014"/>
    <w:rsid w:val="772DD159"/>
    <w:rsid w:val="7733B48F"/>
    <w:rsid w:val="774800B5"/>
    <w:rsid w:val="774F2881"/>
    <w:rsid w:val="7759D4B6"/>
    <w:rsid w:val="775DED4B"/>
    <w:rsid w:val="775FB26C"/>
    <w:rsid w:val="77640DC4"/>
    <w:rsid w:val="7766404D"/>
    <w:rsid w:val="77696443"/>
    <w:rsid w:val="77756B2D"/>
    <w:rsid w:val="77796062"/>
    <w:rsid w:val="777A6476"/>
    <w:rsid w:val="777C78AD"/>
    <w:rsid w:val="777D03B7"/>
    <w:rsid w:val="777EA981"/>
    <w:rsid w:val="777FC66E"/>
    <w:rsid w:val="77927705"/>
    <w:rsid w:val="779F8E84"/>
    <w:rsid w:val="77A75D9F"/>
    <w:rsid w:val="77B473CC"/>
    <w:rsid w:val="77B6737E"/>
    <w:rsid w:val="77BBC68A"/>
    <w:rsid w:val="77BDB9C6"/>
    <w:rsid w:val="77BE79C7"/>
    <w:rsid w:val="77BF3870"/>
    <w:rsid w:val="77BF993E"/>
    <w:rsid w:val="77C37921"/>
    <w:rsid w:val="77C5B97F"/>
    <w:rsid w:val="77CBEC28"/>
    <w:rsid w:val="77DD43ED"/>
    <w:rsid w:val="77DF11CB"/>
    <w:rsid w:val="77DF3D24"/>
    <w:rsid w:val="77E79F46"/>
    <w:rsid w:val="77EDC7BD"/>
    <w:rsid w:val="77EDF15C"/>
    <w:rsid w:val="77EFAC28"/>
    <w:rsid w:val="77EFB46C"/>
    <w:rsid w:val="77F42754"/>
    <w:rsid w:val="77F74587"/>
    <w:rsid w:val="77F776AB"/>
    <w:rsid w:val="77F79FDF"/>
    <w:rsid w:val="77F7E3C5"/>
    <w:rsid w:val="77FB7057"/>
    <w:rsid w:val="77FDA4A8"/>
    <w:rsid w:val="77FE80D8"/>
    <w:rsid w:val="77FF3883"/>
    <w:rsid w:val="77FFA109"/>
    <w:rsid w:val="77FFA593"/>
    <w:rsid w:val="7803238B"/>
    <w:rsid w:val="78111C5A"/>
    <w:rsid w:val="781225CE"/>
    <w:rsid w:val="7819395D"/>
    <w:rsid w:val="781A44CF"/>
    <w:rsid w:val="781F331B"/>
    <w:rsid w:val="78216237"/>
    <w:rsid w:val="78462278"/>
    <w:rsid w:val="7847671C"/>
    <w:rsid w:val="78547D8E"/>
    <w:rsid w:val="78564BB1"/>
    <w:rsid w:val="7875622D"/>
    <w:rsid w:val="7877632C"/>
    <w:rsid w:val="7889583C"/>
    <w:rsid w:val="789620E4"/>
    <w:rsid w:val="789E20B4"/>
    <w:rsid w:val="78D14237"/>
    <w:rsid w:val="78DFCBF1"/>
    <w:rsid w:val="78E33F6B"/>
    <w:rsid w:val="78E4654E"/>
    <w:rsid w:val="79134850"/>
    <w:rsid w:val="79181B98"/>
    <w:rsid w:val="79202EA7"/>
    <w:rsid w:val="7925161A"/>
    <w:rsid w:val="7945168D"/>
    <w:rsid w:val="79492020"/>
    <w:rsid w:val="795040D6"/>
    <w:rsid w:val="79505D0D"/>
    <w:rsid w:val="7956298E"/>
    <w:rsid w:val="795F72DA"/>
    <w:rsid w:val="79664431"/>
    <w:rsid w:val="79712C85"/>
    <w:rsid w:val="798017B9"/>
    <w:rsid w:val="79B3AF39"/>
    <w:rsid w:val="79BD47CE"/>
    <w:rsid w:val="79BE74E7"/>
    <w:rsid w:val="79BF21B3"/>
    <w:rsid w:val="79BFA826"/>
    <w:rsid w:val="79BFD2C5"/>
    <w:rsid w:val="79C61AB7"/>
    <w:rsid w:val="79C9134B"/>
    <w:rsid w:val="79C93160"/>
    <w:rsid w:val="79F7CFDF"/>
    <w:rsid w:val="79FB3F22"/>
    <w:rsid w:val="79FBF868"/>
    <w:rsid w:val="7A001104"/>
    <w:rsid w:val="7A0E644E"/>
    <w:rsid w:val="7A124B07"/>
    <w:rsid w:val="7A3E8721"/>
    <w:rsid w:val="7A560272"/>
    <w:rsid w:val="7A6569CA"/>
    <w:rsid w:val="7A73E041"/>
    <w:rsid w:val="7A77695C"/>
    <w:rsid w:val="7A7C6425"/>
    <w:rsid w:val="7A804167"/>
    <w:rsid w:val="7A907B03"/>
    <w:rsid w:val="7A944128"/>
    <w:rsid w:val="7A9FDF4C"/>
    <w:rsid w:val="7AAB4434"/>
    <w:rsid w:val="7AB5272C"/>
    <w:rsid w:val="7AB83901"/>
    <w:rsid w:val="7ABA7151"/>
    <w:rsid w:val="7AD9311E"/>
    <w:rsid w:val="7AE9783F"/>
    <w:rsid w:val="7AFB0A06"/>
    <w:rsid w:val="7AFD1EDF"/>
    <w:rsid w:val="7AFDD71D"/>
    <w:rsid w:val="7AFEBDFB"/>
    <w:rsid w:val="7AFF9598"/>
    <w:rsid w:val="7B2781C9"/>
    <w:rsid w:val="7B2A0EBA"/>
    <w:rsid w:val="7B2B3D32"/>
    <w:rsid w:val="7B2B7CE9"/>
    <w:rsid w:val="7B37531F"/>
    <w:rsid w:val="7B396E35"/>
    <w:rsid w:val="7B3ABE29"/>
    <w:rsid w:val="7B3F3C5B"/>
    <w:rsid w:val="7B3F4CC9"/>
    <w:rsid w:val="7B430CF1"/>
    <w:rsid w:val="7B4F19D6"/>
    <w:rsid w:val="7B512185"/>
    <w:rsid w:val="7B5D6256"/>
    <w:rsid w:val="7B67EA53"/>
    <w:rsid w:val="7B6ABF9D"/>
    <w:rsid w:val="7B6EF01F"/>
    <w:rsid w:val="7B6F71E1"/>
    <w:rsid w:val="7B71360B"/>
    <w:rsid w:val="7B76215D"/>
    <w:rsid w:val="7B77039A"/>
    <w:rsid w:val="7B79F5FA"/>
    <w:rsid w:val="7B7B450E"/>
    <w:rsid w:val="7B8F1ACF"/>
    <w:rsid w:val="7B933A26"/>
    <w:rsid w:val="7B946464"/>
    <w:rsid w:val="7B9BBA3C"/>
    <w:rsid w:val="7B9C5276"/>
    <w:rsid w:val="7BAD36A0"/>
    <w:rsid w:val="7BB2EB60"/>
    <w:rsid w:val="7BBB7679"/>
    <w:rsid w:val="7BD919C7"/>
    <w:rsid w:val="7BDE801C"/>
    <w:rsid w:val="7BE22F94"/>
    <w:rsid w:val="7BEF00A0"/>
    <w:rsid w:val="7BEF8284"/>
    <w:rsid w:val="7BF743E0"/>
    <w:rsid w:val="7BF74E14"/>
    <w:rsid w:val="7BF753F6"/>
    <w:rsid w:val="7BF76157"/>
    <w:rsid w:val="7BF8014C"/>
    <w:rsid w:val="7BF91985"/>
    <w:rsid w:val="7BFB4A94"/>
    <w:rsid w:val="7BFD392F"/>
    <w:rsid w:val="7BFE4E2E"/>
    <w:rsid w:val="7BFF0681"/>
    <w:rsid w:val="7BFF21CC"/>
    <w:rsid w:val="7BFFCFAC"/>
    <w:rsid w:val="7BFFF0CF"/>
    <w:rsid w:val="7BFFF6B6"/>
    <w:rsid w:val="7C142DB9"/>
    <w:rsid w:val="7C2F728E"/>
    <w:rsid w:val="7C4164E4"/>
    <w:rsid w:val="7C4865D3"/>
    <w:rsid w:val="7C4D21EA"/>
    <w:rsid w:val="7C594C70"/>
    <w:rsid w:val="7C5C4760"/>
    <w:rsid w:val="7C5F7DAC"/>
    <w:rsid w:val="7C662EE9"/>
    <w:rsid w:val="7C69F31E"/>
    <w:rsid w:val="7C6DBC82"/>
    <w:rsid w:val="7C7A1F57"/>
    <w:rsid w:val="7C907F65"/>
    <w:rsid w:val="7C9C690A"/>
    <w:rsid w:val="7CAED327"/>
    <w:rsid w:val="7CBEE523"/>
    <w:rsid w:val="7CCF3BF4"/>
    <w:rsid w:val="7CD773D4"/>
    <w:rsid w:val="7CDD4D91"/>
    <w:rsid w:val="7CDDAA83"/>
    <w:rsid w:val="7CE81B50"/>
    <w:rsid w:val="7CEA79AA"/>
    <w:rsid w:val="7CEAFC7F"/>
    <w:rsid w:val="7CF359D0"/>
    <w:rsid w:val="7CF60850"/>
    <w:rsid w:val="7CF6DF90"/>
    <w:rsid w:val="7CFAC582"/>
    <w:rsid w:val="7CFF8259"/>
    <w:rsid w:val="7D230DDA"/>
    <w:rsid w:val="7D272678"/>
    <w:rsid w:val="7D36C2B8"/>
    <w:rsid w:val="7D427AE5"/>
    <w:rsid w:val="7D4549D9"/>
    <w:rsid w:val="7D4B83E0"/>
    <w:rsid w:val="7D5247C7"/>
    <w:rsid w:val="7D57D5CB"/>
    <w:rsid w:val="7D5B0C55"/>
    <w:rsid w:val="7D5C10B9"/>
    <w:rsid w:val="7D6E5EA5"/>
    <w:rsid w:val="7D6FAE23"/>
    <w:rsid w:val="7D6FC33C"/>
    <w:rsid w:val="7D723BBC"/>
    <w:rsid w:val="7D741635"/>
    <w:rsid w:val="7D74EBCA"/>
    <w:rsid w:val="7D7A5AF1"/>
    <w:rsid w:val="7D7F06BB"/>
    <w:rsid w:val="7D8BDA3A"/>
    <w:rsid w:val="7D916B5F"/>
    <w:rsid w:val="7D9335B1"/>
    <w:rsid w:val="7D9D5161"/>
    <w:rsid w:val="7D9E1F24"/>
    <w:rsid w:val="7D9FC7CF"/>
    <w:rsid w:val="7DA00A53"/>
    <w:rsid w:val="7DA29CCB"/>
    <w:rsid w:val="7DA40C5D"/>
    <w:rsid w:val="7DAF003D"/>
    <w:rsid w:val="7DBF4E73"/>
    <w:rsid w:val="7DC5DE06"/>
    <w:rsid w:val="7DC7C42A"/>
    <w:rsid w:val="7DD02D0F"/>
    <w:rsid w:val="7DD72E80"/>
    <w:rsid w:val="7DDB3462"/>
    <w:rsid w:val="7DDF11A4"/>
    <w:rsid w:val="7DE92023"/>
    <w:rsid w:val="7DEDC6CE"/>
    <w:rsid w:val="7DEF9335"/>
    <w:rsid w:val="7DF05160"/>
    <w:rsid w:val="7DF7D994"/>
    <w:rsid w:val="7DF9EB1A"/>
    <w:rsid w:val="7DFA34C8"/>
    <w:rsid w:val="7DFAF77C"/>
    <w:rsid w:val="7DFB2163"/>
    <w:rsid w:val="7DFB89D8"/>
    <w:rsid w:val="7DFD9940"/>
    <w:rsid w:val="7DFF025C"/>
    <w:rsid w:val="7E01736D"/>
    <w:rsid w:val="7E176B90"/>
    <w:rsid w:val="7E1AD6C2"/>
    <w:rsid w:val="7E2766A8"/>
    <w:rsid w:val="7E2D398F"/>
    <w:rsid w:val="7E3E9E25"/>
    <w:rsid w:val="7E3E9E92"/>
    <w:rsid w:val="7E3F51C7"/>
    <w:rsid w:val="7E4E5C75"/>
    <w:rsid w:val="7E532F28"/>
    <w:rsid w:val="7E5A082B"/>
    <w:rsid w:val="7E5F121F"/>
    <w:rsid w:val="7E5F8BDE"/>
    <w:rsid w:val="7E765F75"/>
    <w:rsid w:val="7E7E8C15"/>
    <w:rsid w:val="7E7F647A"/>
    <w:rsid w:val="7E7FACF4"/>
    <w:rsid w:val="7E843AFA"/>
    <w:rsid w:val="7E941866"/>
    <w:rsid w:val="7E973ECF"/>
    <w:rsid w:val="7E9F8A72"/>
    <w:rsid w:val="7EA2394E"/>
    <w:rsid w:val="7EA36676"/>
    <w:rsid w:val="7EAB1087"/>
    <w:rsid w:val="7EAFB70D"/>
    <w:rsid w:val="7EBE525E"/>
    <w:rsid w:val="7EBE6A9C"/>
    <w:rsid w:val="7EBF2EFE"/>
    <w:rsid w:val="7EBF8BC1"/>
    <w:rsid w:val="7ED1D6F8"/>
    <w:rsid w:val="7ED74193"/>
    <w:rsid w:val="7EDA5CE7"/>
    <w:rsid w:val="7EDBE368"/>
    <w:rsid w:val="7EDD72CE"/>
    <w:rsid w:val="7EDF72E2"/>
    <w:rsid w:val="7EDFEE49"/>
    <w:rsid w:val="7EE2AE67"/>
    <w:rsid w:val="7EF44C6E"/>
    <w:rsid w:val="7EF870B7"/>
    <w:rsid w:val="7EF9D1A3"/>
    <w:rsid w:val="7EFB3266"/>
    <w:rsid w:val="7EFBE1DB"/>
    <w:rsid w:val="7EFC0D74"/>
    <w:rsid w:val="7EFE6F93"/>
    <w:rsid w:val="7EFF3729"/>
    <w:rsid w:val="7EFF3E42"/>
    <w:rsid w:val="7EFF87D5"/>
    <w:rsid w:val="7EFFC564"/>
    <w:rsid w:val="7EFFF703"/>
    <w:rsid w:val="7EFFFAA4"/>
    <w:rsid w:val="7F041433"/>
    <w:rsid w:val="7F0D8DB1"/>
    <w:rsid w:val="7F10538E"/>
    <w:rsid w:val="7F14707A"/>
    <w:rsid w:val="7F1B6466"/>
    <w:rsid w:val="7F1D18B3"/>
    <w:rsid w:val="7F1FC05C"/>
    <w:rsid w:val="7F3BEE35"/>
    <w:rsid w:val="7F3DC291"/>
    <w:rsid w:val="7F3DE047"/>
    <w:rsid w:val="7F3F6306"/>
    <w:rsid w:val="7F57F080"/>
    <w:rsid w:val="7F5BCFE8"/>
    <w:rsid w:val="7F625BE9"/>
    <w:rsid w:val="7F6E3546"/>
    <w:rsid w:val="7F729CDD"/>
    <w:rsid w:val="7F75739A"/>
    <w:rsid w:val="7F772BF0"/>
    <w:rsid w:val="7F7773E9"/>
    <w:rsid w:val="7F7850DA"/>
    <w:rsid w:val="7F7AD18A"/>
    <w:rsid w:val="7F7B4B1E"/>
    <w:rsid w:val="7F7B9F06"/>
    <w:rsid w:val="7F7D7115"/>
    <w:rsid w:val="7F7DC319"/>
    <w:rsid w:val="7F7FE347"/>
    <w:rsid w:val="7F9EB41A"/>
    <w:rsid w:val="7F9FC150"/>
    <w:rsid w:val="7FA6F068"/>
    <w:rsid w:val="7FA7268B"/>
    <w:rsid w:val="7FAA3226"/>
    <w:rsid w:val="7FAB5D44"/>
    <w:rsid w:val="7FADCBD0"/>
    <w:rsid w:val="7FAF0188"/>
    <w:rsid w:val="7FAF3C58"/>
    <w:rsid w:val="7FAF3F50"/>
    <w:rsid w:val="7FAF87D0"/>
    <w:rsid w:val="7FAFF000"/>
    <w:rsid w:val="7FB2C189"/>
    <w:rsid w:val="7FB52F25"/>
    <w:rsid w:val="7FB5B8D3"/>
    <w:rsid w:val="7FB640F1"/>
    <w:rsid w:val="7FB7028E"/>
    <w:rsid w:val="7FB74EBC"/>
    <w:rsid w:val="7FB7F392"/>
    <w:rsid w:val="7FB9162C"/>
    <w:rsid w:val="7FBAE63C"/>
    <w:rsid w:val="7FBB0113"/>
    <w:rsid w:val="7FBB0953"/>
    <w:rsid w:val="7FBB87EE"/>
    <w:rsid w:val="7FBBD53C"/>
    <w:rsid w:val="7FBCD96D"/>
    <w:rsid w:val="7FBDDEA2"/>
    <w:rsid w:val="7FBDFF61"/>
    <w:rsid w:val="7FBF00DA"/>
    <w:rsid w:val="7FBF8D31"/>
    <w:rsid w:val="7FBFFA89"/>
    <w:rsid w:val="7FC76BC0"/>
    <w:rsid w:val="7FCA378E"/>
    <w:rsid w:val="7FCE0776"/>
    <w:rsid w:val="7FD71E41"/>
    <w:rsid w:val="7FD7D742"/>
    <w:rsid w:val="7FD90E48"/>
    <w:rsid w:val="7FDA20CB"/>
    <w:rsid w:val="7FDC3224"/>
    <w:rsid w:val="7FDC4266"/>
    <w:rsid w:val="7FDC4AE5"/>
    <w:rsid w:val="7FDD65F5"/>
    <w:rsid w:val="7FDDE23B"/>
    <w:rsid w:val="7FDE8EBA"/>
    <w:rsid w:val="7FDF9455"/>
    <w:rsid w:val="7FDFB777"/>
    <w:rsid w:val="7FE24F7C"/>
    <w:rsid w:val="7FE674F2"/>
    <w:rsid w:val="7FE7526E"/>
    <w:rsid w:val="7FE7686C"/>
    <w:rsid w:val="7FE793B8"/>
    <w:rsid w:val="7FE7A1E7"/>
    <w:rsid w:val="7FE97B91"/>
    <w:rsid w:val="7FE9904F"/>
    <w:rsid w:val="7FEAEB48"/>
    <w:rsid w:val="7FED593E"/>
    <w:rsid w:val="7FEE8A92"/>
    <w:rsid w:val="7FEF1710"/>
    <w:rsid w:val="7FEF8E73"/>
    <w:rsid w:val="7FEF9660"/>
    <w:rsid w:val="7FEFB7D1"/>
    <w:rsid w:val="7FEFD331"/>
    <w:rsid w:val="7FEFD9E3"/>
    <w:rsid w:val="7FF1E765"/>
    <w:rsid w:val="7FF5571A"/>
    <w:rsid w:val="7FF669B9"/>
    <w:rsid w:val="7FF7EEA7"/>
    <w:rsid w:val="7FF9897B"/>
    <w:rsid w:val="7FF99843"/>
    <w:rsid w:val="7FF9A2DA"/>
    <w:rsid w:val="7FFB1EAD"/>
    <w:rsid w:val="7FFB3700"/>
    <w:rsid w:val="7FFB7FE1"/>
    <w:rsid w:val="7FFD3819"/>
    <w:rsid w:val="7FFD6692"/>
    <w:rsid w:val="7FFD83D1"/>
    <w:rsid w:val="7FFD9C25"/>
    <w:rsid w:val="7FFDB31A"/>
    <w:rsid w:val="7FFDBE53"/>
    <w:rsid w:val="7FFDBFED"/>
    <w:rsid w:val="7FFDC1B1"/>
    <w:rsid w:val="7FFDDE80"/>
    <w:rsid w:val="7FFDE1F2"/>
    <w:rsid w:val="7FFDEDFE"/>
    <w:rsid w:val="7FFDFB93"/>
    <w:rsid w:val="7FFEAE84"/>
    <w:rsid w:val="7FFEEFA0"/>
    <w:rsid w:val="7FFF82BA"/>
    <w:rsid w:val="7FFF8602"/>
    <w:rsid w:val="7FFF9BCC"/>
    <w:rsid w:val="7FFFCF84"/>
    <w:rsid w:val="7FFFF520"/>
    <w:rsid w:val="7FFFFE92"/>
    <w:rsid w:val="857C7D14"/>
    <w:rsid w:val="85CF5697"/>
    <w:rsid w:val="86FFC1F0"/>
    <w:rsid w:val="876BCEA1"/>
    <w:rsid w:val="87FFD976"/>
    <w:rsid w:val="8ADF0C15"/>
    <w:rsid w:val="8B67C5EF"/>
    <w:rsid w:val="8BABD472"/>
    <w:rsid w:val="8BFFEC88"/>
    <w:rsid w:val="8FAD2B3B"/>
    <w:rsid w:val="8FEF7734"/>
    <w:rsid w:val="8FF110E7"/>
    <w:rsid w:val="8FFD1ACF"/>
    <w:rsid w:val="92F2D472"/>
    <w:rsid w:val="93BF7F4A"/>
    <w:rsid w:val="93BFBA81"/>
    <w:rsid w:val="94DE47D6"/>
    <w:rsid w:val="95EE8B66"/>
    <w:rsid w:val="95F2FBC6"/>
    <w:rsid w:val="96AD85B4"/>
    <w:rsid w:val="96B42C95"/>
    <w:rsid w:val="96DFE893"/>
    <w:rsid w:val="970B6D1E"/>
    <w:rsid w:val="972E4A10"/>
    <w:rsid w:val="97BF7007"/>
    <w:rsid w:val="9B7EA215"/>
    <w:rsid w:val="9BAD4E09"/>
    <w:rsid w:val="9BDCFD0D"/>
    <w:rsid w:val="9BDE7BC6"/>
    <w:rsid w:val="9BFF0E22"/>
    <w:rsid w:val="9C7F41D6"/>
    <w:rsid w:val="9D9FAA06"/>
    <w:rsid w:val="9DBFD87F"/>
    <w:rsid w:val="9DDF6336"/>
    <w:rsid w:val="9E94C569"/>
    <w:rsid w:val="9EE77D6C"/>
    <w:rsid w:val="9EF51AB3"/>
    <w:rsid w:val="9EF7A5DA"/>
    <w:rsid w:val="9F2FA58E"/>
    <w:rsid w:val="9F7F7604"/>
    <w:rsid w:val="9F7F8FB0"/>
    <w:rsid w:val="9F7FA1BD"/>
    <w:rsid w:val="9F9F9FA7"/>
    <w:rsid w:val="9FA7101D"/>
    <w:rsid w:val="9FDF8AED"/>
    <w:rsid w:val="9FDFE5FE"/>
    <w:rsid w:val="9FDFED00"/>
    <w:rsid w:val="9FEA9623"/>
    <w:rsid w:val="9FF5906A"/>
    <w:rsid w:val="9FFF8DA9"/>
    <w:rsid w:val="9FFFE00D"/>
    <w:rsid w:val="A3FECAD8"/>
    <w:rsid w:val="A6B7B6BA"/>
    <w:rsid w:val="A6FFAC6B"/>
    <w:rsid w:val="A72B7352"/>
    <w:rsid w:val="A775B3FF"/>
    <w:rsid w:val="A777E5FD"/>
    <w:rsid w:val="A7BB4E78"/>
    <w:rsid w:val="A7BDA90A"/>
    <w:rsid w:val="A7C76FA3"/>
    <w:rsid w:val="A7DADA47"/>
    <w:rsid w:val="A7DFDB66"/>
    <w:rsid w:val="A7ECE530"/>
    <w:rsid w:val="A7EF78D0"/>
    <w:rsid w:val="A7EFCAE4"/>
    <w:rsid w:val="A8FF6E09"/>
    <w:rsid w:val="A9F74D35"/>
    <w:rsid w:val="ABA6E0B5"/>
    <w:rsid w:val="ABFF2EF3"/>
    <w:rsid w:val="ABFFC73C"/>
    <w:rsid w:val="AC9F3C04"/>
    <w:rsid w:val="ADDCD7E4"/>
    <w:rsid w:val="ADFB253A"/>
    <w:rsid w:val="AE7A398C"/>
    <w:rsid w:val="AF2B7E5A"/>
    <w:rsid w:val="AF6C2146"/>
    <w:rsid w:val="AF73B8E5"/>
    <w:rsid w:val="AF7F2EA5"/>
    <w:rsid w:val="AF9D3FB6"/>
    <w:rsid w:val="AFBE25DA"/>
    <w:rsid w:val="AFC7F0E2"/>
    <w:rsid w:val="AFCF400F"/>
    <w:rsid w:val="AFF56E4A"/>
    <w:rsid w:val="AFF5A025"/>
    <w:rsid w:val="AFF6AAB2"/>
    <w:rsid w:val="AFFF149D"/>
    <w:rsid w:val="AFFF8311"/>
    <w:rsid w:val="AFFFB5B1"/>
    <w:rsid w:val="B3CF7848"/>
    <w:rsid w:val="B3D31858"/>
    <w:rsid w:val="B3EF881F"/>
    <w:rsid w:val="B3EFD370"/>
    <w:rsid w:val="B3F0EBF8"/>
    <w:rsid w:val="B3FBAF7D"/>
    <w:rsid w:val="B49F5994"/>
    <w:rsid w:val="B5E385F0"/>
    <w:rsid w:val="B5F7BBA5"/>
    <w:rsid w:val="B5FD27AF"/>
    <w:rsid w:val="B6F933CB"/>
    <w:rsid w:val="B6FAF3E7"/>
    <w:rsid w:val="B6FF6420"/>
    <w:rsid w:val="B73B191F"/>
    <w:rsid w:val="B73B65DA"/>
    <w:rsid w:val="B7632847"/>
    <w:rsid w:val="B7772608"/>
    <w:rsid w:val="B7779617"/>
    <w:rsid w:val="B77E029F"/>
    <w:rsid w:val="B77FDEF7"/>
    <w:rsid w:val="B7AB1E00"/>
    <w:rsid w:val="B7AC729C"/>
    <w:rsid w:val="B7B68D1D"/>
    <w:rsid w:val="B7DFBA07"/>
    <w:rsid w:val="B7DFDC8D"/>
    <w:rsid w:val="B7ED3255"/>
    <w:rsid w:val="B7FE9F6D"/>
    <w:rsid w:val="B7FF67CC"/>
    <w:rsid w:val="B95FA20E"/>
    <w:rsid w:val="B97E04C9"/>
    <w:rsid w:val="B9EEF9F5"/>
    <w:rsid w:val="B9FFB1CE"/>
    <w:rsid w:val="BA7BF6D6"/>
    <w:rsid w:val="BA8B3EA8"/>
    <w:rsid w:val="BAB75BEE"/>
    <w:rsid w:val="BADF6262"/>
    <w:rsid w:val="BAFFED9C"/>
    <w:rsid w:val="BB5D6CEA"/>
    <w:rsid w:val="BB5EC8B3"/>
    <w:rsid w:val="BBAF8351"/>
    <w:rsid w:val="BBBB905D"/>
    <w:rsid w:val="BBDDD4AC"/>
    <w:rsid w:val="BBFBBCDF"/>
    <w:rsid w:val="BBFE1F89"/>
    <w:rsid w:val="BBFE4400"/>
    <w:rsid w:val="BBFEB675"/>
    <w:rsid w:val="BBFEC6B7"/>
    <w:rsid w:val="BBFF92CC"/>
    <w:rsid w:val="BBFF953A"/>
    <w:rsid w:val="BCBCE21C"/>
    <w:rsid w:val="BD1FBAD6"/>
    <w:rsid w:val="BD43765E"/>
    <w:rsid w:val="BD5FAB80"/>
    <w:rsid w:val="BD973944"/>
    <w:rsid w:val="BDA9C6AD"/>
    <w:rsid w:val="BDAF1F7E"/>
    <w:rsid w:val="BDB5C186"/>
    <w:rsid w:val="BDC6F2B1"/>
    <w:rsid w:val="BDE76630"/>
    <w:rsid w:val="BE3661CA"/>
    <w:rsid w:val="BE5E20DE"/>
    <w:rsid w:val="BE73FC62"/>
    <w:rsid w:val="BE7EB32B"/>
    <w:rsid w:val="BE889D18"/>
    <w:rsid w:val="BEB2307A"/>
    <w:rsid w:val="BEBDDC03"/>
    <w:rsid w:val="BEBE9C58"/>
    <w:rsid w:val="BEDF8D00"/>
    <w:rsid w:val="BEEBF948"/>
    <w:rsid w:val="BEED919B"/>
    <w:rsid w:val="BEF755C4"/>
    <w:rsid w:val="BEF7E5CA"/>
    <w:rsid w:val="BEF7FE22"/>
    <w:rsid w:val="BEFF039A"/>
    <w:rsid w:val="BEFF5771"/>
    <w:rsid w:val="BF33D110"/>
    <w:rsid w:val="BF396B29"/>
    <w:rsid w:val="BF5D1CEB"/>
    <w:rsid w:val="BF5D2105"/>
    <w:rsid w:val="BF5F1841"/>
    <w:rsid w:val="BF6C9CEE"/>
    <w:rsid w:val="BF7708C7"/>
    <w:rsid w:val="BF7C44D2"/>
    <w:rsid w:val="BF7E5D48"/>
    <w:rsid w:val="BF7F388B"/>
    <w:rsid w:val="BFAE311F"/>
    <w:rsid w:val="BFB24AE2"/>
    <w:rsid w:val="BFB342A2"/>
    <w:rsid w:val="BFB988C7"/>
    <w:rsid w:val="BFBA5D8B"/>
    <w:rsid w:val="BFBD2E53"/>
    <w:rsid w:val="BFBFD8AF"/>
    <w:rsid w:val="BFCD4E9B"/>
    <w:rsid w:val="BFCD9C85"/>
    <w:rsid w:val="BFD94F04"/>
    <w:rsid w:val="BFDBEAE4"/>
    <w:rsid w:val="BFDEC296"/>
    <w:rsid w:val="BFED96C1"/>
    <w:rsid w:val="BFEDE9A6"/>
    <w:rsid w:val="BFEE2C0D"/>
    <w:rsid w:val="BFEF615E"/>
    <w:rsid w:val="BFF1F047"/>
    <w:rsid w:val="BFF29B80"/>
    <w:rsid w:val="BFF4994D"/>
    <w:rsid w:val="BFF515B2"/>
    <w:rsid w:val="BFF9576F"/>
    <w:rsid w:val="BFFACA50"/>
    <w:rsid w:val="BFFAD1ED"/>
    <w:rsid w:val="BFFAEC0A"/>
    <w:rsid w:val="BFFB51C2"/>
    <w:rsid w:val="BFFB5532"/>
    <w:rsid w:val="BFFD1457"/>
    <w:rsid w:val="BFFD18F4"/>
    <w:rsid w:val="BFFD7623"/>
    <w:rsid w:val="BFFDC454"/>
    <w:rsid w:val="BFFEFB11"/>
    <w:rsid w:val="BFFF0072"/>
    <w:rsid w:val="BFFFB5D1"/>
    <w:rsid w:val="BFFFEC9F"/>
    <w:rsid w:val="BFFFEFC6"/>
    <w:rsid w:val="BFFFFFC0"/>
    <w:rsid w:val="C5ED09F7"/>
    <w:rsid w:val="C9FF6C2B"/>
    <w:rsid w:val="CAFF6620"/>
    <w:rsid w:val="CBF77536"/>
    <w:rsid w:val="CBFA3CDE"/>
    <w:rsid w:val="CC573BD9"/>
    <w:rsid w:val="CC9FD14B"/>
    <w:rsid w:val="CD9F15B7"/>
    <w:rsid w:val="CDD3901A"/>
    <w:rsid w:val="CDD665DD"/>
    <w:rsid w:val="CDF786B3"/>
    <w:rsid w:val="CDFAB64B"/>
    <w:rsid w:val="CDFEE68E"/>
    <w:rsid w:val="CDFF8E30"/>
    <w:rsid w:val="CE2AE1D1"/>
    <w:rsid w:val="CEAD1A4E"/>
    <w:rsid w:val="CECCC98E"/>
    <w:rsid w:val="CEDD76CB"/>
    <w:rsid w:val="CEE9FDF5"/>
    <w:rsid w:val="CEF63D96"/>
    <w:rsid w:val="CEFF4AE3"/>
    <w:rsid w:val="CEFFC094"/>
    <w:rsid w:val="CF7AFC13"/>
    <w:rsid w:val="CFD150BC"/>
    <w:rsid w:val="CFED5D6B"/>
    <w:rsid w:val="CFEDF961"/>
    <w:rsid w:val="CFF78716"/>
    <w:rsid w:val="CFFEC4CE"/>
    <w:rsid w:val="CFFF2BDA"/>
    <w:rsid w:val="D0D5F04D"/>
    <w:rsid w:val="D17860AC"/>
    <w:rsid w:val="D1F64530"/>
    <w:rsid w:val="D3D95090"/>
    <w:rsid w:val="D4BF867E"/>
    <w:rsid w:val="D4FE00E0"/>
    <w:rsid w:val="D52BEA47"/>
    <w:rsid w:val="D53C7B4E"/>
    <w:rsid w:val="D5DE8791"/>
    <w:rsid w:val="D5EF9CE6"/>
    <w:rsid w:val="D5FF2D75"/>
    <w:rsid w:val="D67F7A65"/>
    <w:rsid w:val="D6B9118F"/>
    <w:rsid w:val="D6D3A58D"/>
    <w:rsid w:val="D6E3A8C5"/>
    <w:rsid w:val="D6F36D43"/>
    <w:rsid w:val="D6FD86AE"/>
    <w:rsid w:val="D6FDCC58"/>
    <w:rsid w:val="D6FF2425"/>
    <w:rsid w:val="D73B54D8"/>
    <w:rsid w:val="D7BF23A8"/>
    <w:rsid w:val="D7BFC18C"/>
    <w:rsid w:val="D7D90147"/>
    <w:rsid w:val="D7DBF848"/>
    <w:rsid w:val="D7DF4D14"/>
    <w:rsid w:val="D7EFC196"/>
    <w:rsid w:val="D7F73B43"/>
    <w:rsid w:val="D7F76C3F"/>
    <w:rsid w:val="D7FFDBAB"/>
    <w:rsid w:val="D7FFEA5C"/>
    <w:rsid w:val="D85324C4"/>
    <w:rsid w:val="D96B46B0"/>
    <w:rsid w:val="D97E372F"/>
    <w:rsid w:val="D9DFA36F"/>
    <w:rsid w:val="D9EE24B1"/>
    <w:rsid w:val="D9FF03D1"/>
    <w:rsid w:val="DA7D3A9E"/>
    <w:rsid w:val="DAF99122"/>
    <w:rsid w:val="DAFF9039"/>
    <w:rsid w:val="DB010C0A"/>
    <w:rsid w:val="DB6BC003"/>
    <w:rsid w:val="DB77D37F"/>
    <w:rsid w:val="DB9A7DC1"/>
    <w:rsid w:val="DBA7BB18"/>
    <w:rsid w:val="DBABF215"/>
    <w:rsid w:val="DBB7421C"/>
    <w:rsid w:val="DBC48B9B"/>
    <w:rsid w:val="DBD732FA"/>
    <w:rsid w:val="DBDBBEC3"/>
    <w:rsid w:val="DBDE104A"/>
    <w:rsid w:val="DBF5FC40"/>
    <w:rsid w:val="DBF7666A"/>
    <w:rsid w:val="DBF7D301"/>
    <w:rsid w:val="DBF953B6"/>
    <w:rsid w:val="DBFBFCDA"/>
    <w:rsid w:val="DBFE7F80"/>
    <w:rsid w:val="DBFF0049"/>
    <w:rsid w:val="DBFF2E1A"/>
    <w:rsid w:val="DC9F7990"/>
    <w:rsid w:val="DCCFE9C6"/>
    <w:rsid w:val="DCEE4B1E"/>
    <w:rsid w:val="DD5F7315"/>
    <w:rsid w:val="DD7A6D7F"/>
    <w:rsid w:val="DDDD357F"/>
    <w:rsid w:val="DDEB9D7F"/>
    <w:rsid w:val="DDEF5CBD"/>
    <w:rsid w:val="DDF6F05F"/>
    <w:rsid w:val="DDFB9BBC"/>
    <w:rsid w:val="DE0D4E7C"/>
    <w:rsid w:val="DE3F71FB"/>
    <w:rsid w:val="DE5FF709"/>
    <w:rsid w:val="DE7F7BB1"/>
    <w:rsid w:val="DE967637"/>
    <w:rsid w:val="DE976057"/>
    <w:rsid w:val="DEA72602"/>
    <w:rsid w:val="DECB4ACA"/>
    <w:rsid w:val="DEDA78FD"/>
    <w:rsid w:val="DEDF6C6F"/>
    <w:rsid w:val="DEE12760"/>
    <w:rsid w:val="DEEF196D"/>
    <w:rsid w:val="DEFB264A"/>
    <w:rsid w:val="DEFFC9D7"/>
    <w:rsid w:val="DF3D6099"/>
    <w:rsid w:val="DF6DCE73"/>
    <w:rsid w:val="DF7C0C02"/>
    <w:rsid w:val="DF7D0721"/>
    <w:rsid w:val="DF7E4709"/>
    <w:rsid w:val="DF7E5818"/>
    <w:rsid w:val="DF7F9DB9"/>
    <w:rsid w:val="DF9492D9"/>
    <w:rsid w:val="DF9B0C1D"/>
    <w:rsid w:val="DF9E00E3"/>
    <w:rsid w:val="DFBB9FFD"/>
    <w:rsid w:val="DFBE2F23"/>
    <w:rsid w:val="DFBEFADC"/>
    <w:rsid w:val="DFCB6D0F"/>
    <w:rsid w:val="DFCD5484"/>
    <w:rsid w:val="DFCD5945"/>
    <w:rsid w:val="DFCF151E"/>
    <w:rsid w:val="DFDBC4F4"/>
    <w:rsid w:val="DFDD4676"/>
    <w:rsid w:val="DFDF3FCE"/>
    <w:rsid w:val="DFDF66F0"/>
    <w:rsid w:val="DFEEF5C9"/>
    <w:rsid w:val="DFF5DB35"/>
    <w:rsid w:val="DFF72A06"/>
    <w:rsid w:val="DFF7822D"/>
    <w:rsid w:val="DFFB7A07"/>
    <w:rsid w:val="DFFD1C1D"/>
    <w:rsid w:val="DFFF18ED"/>
    <w:rsid w:val="E1FE9E11"/>
    <w:rsid w:val="E23A4E24"/>
    <w:rsid w:val="E2E79653"/>
    <w:rsid w:val="E37DCA50"/>
    <w:rsid w:val="E37E9FE9"/>
    <w:rsid w:val="E3C5ED81"/>
    <w:rsid w:val="E3EE1A23"/>
    <w:rsid w:val="E3FDAE09"/>
    <w:rsid w:val="E3FEB3F8"/>
    <w:rsid w:val="E57B64AC"/>
    <w:rsid w:val="E5C79CD3"/>
    <w:rsid w:val="E5ED73B6"/>
    <w:rsid w:val="E5FBEAB0"/>
    <w:rsid w:val="E5FF5F02"/>
    <w:rsid w:val="E68FBD07"/>
    <w:rsid w:val="E6BD62F2"/>
    <w:rsid w:val="E6D79FED"/>
    <w:rsid w:val="E7482437"/>
    <w:rsid w:val="E7585DBC"/>
    <w:rsid w:val="E7636E14"/>
    <w:rsid w:val="E77D4043"/>
    <w:rsid w:val="E77E54EE"/>
    <w:rsid w:val="E7A85B0C"/>
    <w:rsid w:val="E7B33025"/>
    <w:rsid w:val="E7F55AEC"/>
    <w:rsid w:val="E7FF03F1"/>
    <w:rsid w:val="E7FF657D"/>
    <w:rsid w:val="E7FF896B"/>
    <w:rsid w:val="E96679B5"/>
    <w:rsid w:val="E9754E0A"/>
    <w:rsid w:val="E9ABD9D5"/>
    <w:rsid w:val="EADDD20C"/>
    <w:rsid w:val="EAF91F07"/>
    <w:rsid w:val="EB3F051E"/>
    <w:rsid w:val="EB6118FA"/>
    <w:rsid w:val="EB7FE8B7"/>
    <w:rsid w:val="EBBF4864"/>
    <w:rsid w:val="EBDE6837"/>
    <w:rsid w:val="EBE27AC3"/>
    <w:rsid w:val="EBE745CC"/>
    <w:rsid w:val="EBEE063D"/>
    <w:rsid w:val="EBEF77D2"/>
    <w:rsid w:val="EBEF9C6D"/>
    <w:rsid w:val="EBF4556C"/>
    <w:rsid w:val="EBFB2EA2"/>
    <w:rsid w:val="EBFD59D9"/>
    <w:rsid w:val="EBFD9404"/>
    <w:rsid w:val="EBFEC748"/>
    <w:rsid w:val="EBFF51B0"/>
    <w:rsid w:val="EBFF8B3D"/>
    <w:rsid w:val="EC3E1766"/>
    <w:rsid w:val="EC7EC950"/>
    <w:rsid w:val="ECAE06A0"/>
    <w:rsid w:val="ECAE606B"/>
    <w:rsid w:val="ED30CF16"/>
    <w:rsid w:val="ED7F1D89"/>
    <w:rsid w:val="EDA40689"/>
    <w:rsid w:val="EDBB49C8"/>
    <w:rsid w:val="EDD9E0D8"/>
    <w:rsid w:val="EDDF71B2"/>
    <w:rsid w:val="EDEE0BDA"/>
    <w:rsid w:val="EDEF0302"/>
    <w:rsid w:val="EDEF36EA"/>
    <w:rsid w:val="EDF6CF29"/>
    <w:rsid w:val="EDFD682F"/>
    <w:rsid w:val="EDFF5C63"/>
    <w:rsid w:val="EE4F0FB8"/>
    <w:rsid w:val="EE7C89F6"/>
    <w:rsid w:val="EE7FED39"/>
    <w:rsid w:val="EE9F2DDC"/>
    <w:rsid w:val="EEB38DA9"/>
    <w:rsid w:val="EEC7E674"/>
    <w:rsid w:val="EED980EA"/>
    <w:rsid w:val="EEEB5E96"/>
    <w:rsid w:val="EEEFC7BE"/>
    <w:rsid w:val="EEF32FC0"/>
    <w:rsid w:val="EEF378A5"/>
    <w:rsid w:val="EEF7B325"/>
    <w:rsid w:val="EEFD0632"/>
    <w:rsid w:val="EEFE9F6B"/>
    <w:rsid w:val="EEFF9741"/>
    <w:rsid w:val="EF155A62"/>
    <w:rsid w:val="EF3E7065"/>
    <w:rsid w:val="EF5A86A0"/>
    <w:rsid w:val="EF715045"/>
    <w:rsid w:val="EF777DE4"/>
    <w:rsid w:val="EF78DD7E"/>
    <w:rsid w:val="EF7DD018"/>
    <w:rsid w:val="EF7E328F"/>
    <w:rsid w:val="EF7FCA2A"/>
    <w:rsid w:val="EF7FDCC4"/>
    <w:rsid w:val="EF8BB499"/>
    <w:rsid w:val="EF9754E6"/>
    <w:rsid w:val="EFA7B5A8"/>
    <w:rsid w:val="EFAD3E6F"/>
    <w:rsid w:val="EFAF193C"/>
    <w:rsid w:val="EFB49EA9"/>
    <w:rsid w:val="EFB60572"/>
    <w:rsid w:val="EFBB6517"/>
    <w:rsid w:val="EFBED4F4"/>
    <w:rsid w:val="EFC790D3"/>
    <w:rsid w:val="EFD31EDA"/>
    <w:rsid w:val="EFD5212F"/>
    <w:rsid w:val="EFDC890D"/>
    <w:rsid w:val="EFDD54F1"/>
    <w:rsid w:val="EFDF37E7"/>
    <w:rsid w:val="EFDFF7DA"/>
    <w:rsid w:val="EFE59D62"/>
    <w:rsid w:val="EFE94818"/>
    <w:rsid w:val="EFEDFF49"/>
    <w:rsid w:val="EFEE3BC2"/>
    <w:rsid w:val="EFEE7FAD"/>
    <w:rsid w:val="EFEFE84D"/>
    <w:rsid w:val="EFF3B11F"/>
    <w:rsid w:val="EFF58037"/>
    <w:rsid w:val="EFF73FA3"/>
    <w:rsid w:val="EFFB60C2"/>
    <w:rsid w:val="EFFCC4A9"/>
    <w:rsid w:val="EFFEBDB0"/>
    <w:rsid w:val="EFFF2F83"/>
    <w:rsid w:val="EFFF4798"/>
    <w:rsid w:val="EFFFEFBA"/>
    <w:rsid w:val="F0B7C0EF"/>
    <w:rsid w:val="F0FFE395"/>
    <w:rsid w:val="F1739C83"/>
    <w:rsid w:val="F19B2B5D"/>
    <w:rsid w:val="F1DDDF48"/>
    <w:rsid w:val="F1EDAF1A"/>
    <w:rsid w:val="F1F91B01"/>
    <w:rsid w:val="F1FFE74B"/>
    <w:rsid w:val="F22B347F"/>
    <w:rsid w:val="F2742544"/>
    <w:rsid w:val="F2762D91"/>
    <w:rsid w:val="F2EFCF3A"/>
    <w:rsid w:val="F2EFDA95"/>
    <w:rsid w:val="F2F7F29A"/>
    <w:rsid w:val="F2FB61EC"/>
    <w:rsid w:val="F2FD1300"/>
    <w:rsid w:val="F2FD2BD2"/>
    <w:rsid w:val="F2FFEC2F"/>
    <w:rsid w:val="F31D8A20"/>
    <w:rsid w:val="F3679BB7"/>
    <w:rsid w:val="F36E1149"/>
    <w:rsid w:val="F3794514"/>
    <w:rsid w:val="F37F1529"/>
    <w:rsid w:val="F37FF737"/>
    <w:rsid w:val="F3C93647"/>
    <w:rsid w:val="F3DF6990"/>
    <w:rsid w:val="F3E7ED5F"/>
    <w:rsid w:val="F3EF62E4"/>
    <w:rsid w:val="F3FEFA7B"/>
    <w:rsid w:val="F3FFA280"/>
    <w:rsid w:val="F3FFBD72"/>
    <w:rsid w:val="F4FC1067"/>
    <w:rsid w:val="F55CF3A8"/>
    <w:rsid w:val="F57BB330"/>
    <w:rsid w:val="F5AC6125"/>
    <w:rsid w:val="F5B6D4F5"/>
    <w:rsid w:val="F5BFCEF0"/>
    <w:rsid w:val="F5BFDD1E"/>
    <w:rsid w:val="F5DFE2D1"/>
    <w:rsid w:val="F5EAA38B"/>
    <w:rsid w:val="F5F57AF4"/>
    <w:rsid w:val="F5F79B51"/>
    <w:rsid w:val="F5FEFF53"/>
    <w:rsid w:val="F67BA45C"/>
    <w:rsid w:val="F67D05F5"/>
    <w:rsid w:val="F67D1091"/>
    <w:rsid w:val="F6B27736"/>
    <w:rsid w:val="F6D913E8"/>
    <w:rsid w:val="F6F91D61"/>
    <w:rsid w:val="F6FBC7E8"/>
    <w:rsid w:val="F6FD3D71"/>
    <w:rsid w:val="F6FF8B5A"/>
    <w:rsid w:val="F71D59F7"/>
    <w:rsid w:val="F7339A4C"/>
    <w:rsid w:val="F75E4832"/>
    <w:rsid w:val="F75F0028"/>
    <w:rsid w:val="F7629C75"/>
    <w:rsid w:val="F76F58DA"/>
    <w:rsid w:val="F776D4E3"/>
    <w:rsid w:val="F777EAA2"/>
    <w:rsid w:val="F77B0C9E"/>
    <w:rsid w:val="F77C924D"/>
    <w:rsid w:val="F77F013E"/>
    <w:rsid w:val="F795C0B5"/>
    <w:rsid w:val="F79AD270"/>
    <w:rsid w:val="F79FA47E"/>
    <w:rsid w:val="F7B9C814"/>
    <w:rsid w:val="F7BB0FE6"/>
    <w:rsid w:val="F7BBB676"/>
    <w:rsid w:val="F7BBC4F9"/>
    <w:rsid w:val="F7BF71AF"/>
    <w:rsid w:val="F7C261D3"/>
    <w:rsid w:val="F7CF750E"/>
    <w:rsid w:val="F7D722AB"/>
    <w:rsid w:val="F7D9B0B4"/>
    <w:rsid w:val="F7DBACCF"/>
    <w:rsid w:val="F7DF5DCE"/>
    <w:rsid w:val="F7DF9010"/>
    <w:rsid w:val="F7DFA9AA"/>
    <w:rsid w:val="F7DFC3AC"/>
    <w:rsid w:val="F7E7E63B"/>
    <w:rsid w:val="F7EA6090"/>
    <w:rsid w:val="F7ED0F67"/>
    <w:rsid w:val="F7ED6201"/>
    <w:rsid w:val="F7EE08F3"/>
    <w:rsid w:val="F7EF2C88"/>
    <w:rsid w:val="F7EF3DF5"/>
    <w:rsid w:val="F7F29DC0"/>
    <w:rsid w:val="F7F5B768"/>
    <w:rsid w:val="F7FA5E61"/>
    <w:rsid w:val="F7FB3D78"/>
    <w:rsid w:val="F7FB718D"/>
    <w:rsid w:val="F7FD74E4"/>
    <w:rsid w:val="F7FD93F4"/>
    <w:rsid w:val="F7FEEB41"/>
    <w:rsid w:val="F7FF6259"/>
    <w:rsid w:val="F7FF7574"/>
    <w:rsid w:val="F7FF87EF"/>
    <w:rsid w:val="F86AB3A0"/>
    <w:rsid w:val="F8BC8EA5"/>
    <w:rsid w:val="F8D7DFB8"/>
    <w:rsid w:val="F8DF81F1"/>
    <w:rsid w:val="F9A7C0CC"/>
    <w:rsid w:val="F9AB131B"/>
    <w:rsid w:val="F9CF66A6"/>
    <w:rsid w:val="F9DBE549"/>
    <w:rsid w:val="F9DFB17D"/>
    <w:rsid w:val="F9ED8117"/>
    <w:rsid w:val="F9F6D9B1"/>
    <w:rsid w:val="F9FB2BE4"/>
    <w:rsid w:val="F9FEDAC4"/>
    <w:rsid w:val="FA3CF403"/>
    <w:rsid w:val="FA7B3DDA"/>
    <w:rsid w:val="FA9E9091"/>
    <w:rsid w:val="FAAF1D34"/>
    <w:rsid w:val="FAB9A065"/>
    <w:rsid w:val="FABDE369"/>
    <w:rsid w:val="FABF8463"/>
    <w:rsid w:val="FAF6C386"/>
    <w:rsid w:val="FAF740C1"/>
    <w:rsid w:val="FAFD4B28"/>
    <w:rsid w:val="FAFF1A42"/>
    <w:rsid w:val="FAFF7CD3"/>
    <w:rsid w:val="FAFFF09C"/>
    <w:rsid w:val="FB0F758B"/>
    <w:rsid w:val="FB3B0372"/>
    <w:rsid w:val="FB3FCA1C"/>
    <w:rsid w:val="FB5DE448"/>
    <w:rsid w:val="FB5E17C3"/>
    <w:rsid w:val="FB5EE301"/>
    <w:rsid w:val="FB64010E"/>
    <w:rsid w:val="FB6F3859"/>
    <w:rsid w:val="FB76ACDB"/>
    <w:rsid w:val="FB7AFA31"/>
    <w:rsid w:val="FB7F0465"/>
    <w:rsid w:val="FB9F4162"/>
    <w:rsid w:val="FBAF069D"/>
    <w:rsid w:val="FBB31034"/>
    <w:rsid w:val="FBB44C97"/>
    <w:rsid w:val="FBB849A1"/>
    <w:rsid w:val="FBB8F1C2"/>
    <w:rsid w:val="FBBF2542"/>
    <w:rsid w:val="FBBF52B0"/>
    <w:rsid w:val="FBCF14CA"/>
    <w:rsid w:val="FBD5C9F3"/>
    <w:rsid w:val="FBD755F5"/>
    <w:rsid w:val="FBD79A7A"/>
    <w:rsid w:val="FBDB3694"/>
    <w:rsid w:val="FBDF0F0E"/>
    <w:rsid w:val="FBDF3FC9"/>
    <w:rsid w:val="FBDFBD3D"/>
    <w:rsid w:val="FBE72196"/>
    <w:rsid w:val="FBE8B31D"/>
    <w:rsid w:val="FBEBE1BD"/>
    <w:rsid w:val="FBEC5A92"/>
    <w:rsid w:val="FBF227E9"/>
    <w:rsid w:val="FBF75280"/>
    <w:rsid w:val="FBF7FF84"/>
    <w:rsid w:val="FBFA11A0"/>
    <w:rsid w:val="FBFB273F"/>
    <w:rsid w:val="FBFCAA99"/>
    <w:rsid w:val="FBFD64F5"/>
    <w:rsid w:val="FBFE8D6F"/>
    <w:rsid w:val="FBFEEEF5"/>
    <w:rsid w:val="FBFEEF1A"/>
    <w:rsid w:val="FBFF251C"/>
    <w:rsid w:val="FBFF433E"/>
    <w:rsid w:val="FBFFA934"/>
    <w:rsid w:val="FBFFCF93"/>
    <w:rsid w:val="FC1FD727"/>
    <w:rsid w:val="FC5D6CF3"/>
    <w:rsid w:val="FC5D94E8"/>
    <w:rsid w:val="FC6D7AE3"/>
    <w:rsid w:val="FC7F0DC8"/>
    <w:rsid w:val="FCD12B50"/>
    <w:rsid w:val="FCED53C4"/>
    <w:rsid w:val="FCEE5271"/>
    <w:rsid w:val="FCFB368B"/>
    <w:rsid w:val="FCFE2B38"/>
    <w:rsid w:val="FCFF4C6C"/>
    <w:rsid w:val="FD44A5DD"/>
    <w:rsid w:val="FD5DBB3B"/>
    <w:rsid w:val="FD5F5F37"/>
    <w:rsid w:val="FD7C672C"/>
    <w:rsid w:val="FD7F80DB"/>
    <w:rsid w:val="FD960442"/>
    <w:rsid w:val="FDB6AA24"/>
    <w:rsid w:val="FDBD57DD"/>
    <w:rsid w:val="FDBF082E"/>
    <w:rsid w:val="FDBF313C"/>
    <w:rsid w:val="FDD35273"/>
    <w:rsid w:val="FDD5ABAF"/>
    <w:rsid w:val="FDD7F89F"/>
    <w:rsid w:val="FDDEE202"/>
    <w:rsid w:val="FDDEEAA4"/>
    <w:rsid w:val="FDDF5F38"/>
    <w:rsid w:val="FDE0B2F1"/>
    <w:rsid w:val="FDE69B6F"/>
    <w:rsid w:val="FDED0E5A"/>
    <w:rsid w:val="FDED24F4"/>
    <w:rsid w:val="FDEF2552"/>
    <w:rsid w:val="FDEF6A21"/>
    <w:rsid w:val="FDF210BF"/>
    <w:rsid w:val="FDF306FC"/>
    <w:rsid w:val="FDF5708A"/>
    <w:rsid w:val="FDF70AA2"/>
    <w:rsid w:val="FDFB313F"/>
    <w:rsid w:val="FDFB94BA"/>
    <w:rsid w:val="FDFC3A35"/>
    <w:rsid w:val="FDFC3D0B"/>
    <w:rsid w:val="FDFDC194"/>
    <w:rsid w:val="FDFF6B31"/>
    <w:rsid w:val="FE2FE493"/>
    <w:rsid w:val="FE3BC92B"/>
    <w:rsid w:val="FE471FAF"/>
    <w:rsid w:val="FE4FFC4F"/>
    <w:rsid w:val="FE5C466F"/>
    <w:rsid w:val="FE5FE6EA"/>
    <w:rsid w:val="FE67D960"/>
    <w:rsid w:val="FE7E8E80"/>
    <w:rsid w:val="FE7F42CF"/>
    <w:rsid w:val="FE876271"/>
    <w:rsid w:val="FE8D01FC"/>
    <w:rsid w:val="FEA35D09"/>
    <w:rsid w:val="FEAE0EF3"/>
    <w:rsid w:val="FEB2BACE"/>
    <w:rsid w:val="FEBB40C1"/>
    <w:rsid w:val="FEBE5F89"/>
    <w:rsid w:val="FEC77D5C"/>
    <w:rsid w:val="FED539F8"/>
    <w:rsid w:val="FED55774"/>
    <w:rsid w:val="FED7FD5C"/>
    <w:rsid w:val="FEDBD0D9"/>
    <w:rsid w:val="FEEA2CC9"/>
    <w:rsid w:val="FEEFD0B9"/>
    <w:rsid w:val="FEEFE258"/>
    <w:rsid w:val="FEEFF7AB"/>
    <w:rsid w:val="FEF1269C"/>
    <w:rsid w:val="FEF18708"/>
    <w:rsid w:val="FEF19B6B"/>
    <w:rsid w:val="FEF2BF4E"/>
    <w:rsid w:val="FEF7008E"/>
    <w:rsid w:val="FEF7960E"/>
    <w:rsid w:val="FEF9E079"/>
    <w:rsid w:val="FEFA37C7"/>
    <w:rsid w:val="FEFD4605"/>
    <w:rsid w:val="FEFDF089"/>
    <w:rsid w:val="FEFE01A8"/>
    <w:rsid w:val="FEFEE563"/>
    <w:rsid w:val="FEFF2C2D"/>
    <w:rsid w:val="FEFF413E"/>
    <w:rsid w:val="FEFFC7D2"/>
    <w:rsid w:val="FEFFF1B0"/>
    <w:rsid w:val="FEFFF694"/>
    <w:rsid w:val="FF1BF733"/>
    <w:rsid w:val="FF27465F"/>
    <w:rsid w:val="FF2F173D"/>
    <w:rsid w:val="FF3EFA35"/>
    <w:rsid w:val="FF3F1BC6"/>
    <w:rsid w:val="FF571D8E"/>
    <w:rsid w:val="FF5D6B2F"/>
    <w:rsid w:val="FF5F9608"/>
    <w:rsid w:val="FF5FDC1A"/>
    <w:rsid w:val="FF69F3CD"/>
    <w:rsid w:val="FF6B50C7"/>
    <w:rsid w:val="FF6D9217"/>
    <w:rsid w:val="FF6E7175"/>
    <w:rsid w:val="FF6F786F"/>
    <w:rsid w:val="FF6FA16D"/>
    <w:rsid w:val="FF758BBE"/>
    <w:rsid w:val="FF76FE14"/>
    <w:rsid w:val="FF773B87"/>
    <w:rsid w:val="FF77C052"/>
    <w:rsid w:val="FF77EFFC"/>
    <w:rsid w:val="FF784D5D"/>
    <w:rsid w:val="FF7DB14D"/>
    <w:rsid w:val="FF7DBB24"/>
    <w:rsid w:val="FF7E39DB"/>
    <w:rsid w:val="FF7E922A"/>
    <w:rsid w:val="FF7F2C41"/>
    <w:rsid w:val="FF7F549C"/>
    <w:rsid w:val="FF7F55B2"/>
    <w:rsid w:val="FF7F5703"/>
    <w:rsid w:val="FF996B80"/>
    <w:rsid w:val="FF9F6502"/>
    <w:rsid w:val="FF9F7D3B"/>
    <w:rsid w:val="FF9FEE70"/>
    <w:rsid w:val="FFA0B96F"/>
    <w:rsid w:val="FFAD1037"/>
    <w:rsid w:val="FFAF1377"/>
    <w:rsid w:val="FFB2A94D"/>
    <w:rsid w:val="FFB722F9"/>
    <w:rsid w:val="FFB8CB8C"/>
    <w:rsid w:val="FFBB1A4D"/>
    <w:rsid w:val="FFBB1C7E"/>
    <w:rsid w:val="FFBB9966"/>
    <w:rsid w:val="FFBBC72D"/>
    <w:rsid w:val="FFBEF978"/>
    <w:rsid w:val="FFBF8A11"/>
    <w:rsid w:val="FFBFF839"/>
    <w:rsid w:val="FFCD1497"/>
    <w:rsid w:val="FFCD48A2"/>
    <w:rsid w:val="FFCD818D"/>
    <w:rsid w:val="FFCD997B"/>
    <w:rsid w:val="FFD3444A"/>
    <w:rsid w:val="FFD3A33E"/>
    <w:rsid w:val="FFD539CB"/>
    <w:rsid w:val="FFD7D680"/>
    <w:rsid w:val="FFD7FCF3"/>
    <w:rsid w:val="FFDE1973"/>
    <w:rsid w:val="FFDEA021"/>
    <w:rsid w:val="FFDF6724"/>
    <w:rsid w:val="FFDFCE02"/>
    <w:rsid w:val="FFE3D950"/>
    <w:rsid w:val="FFE72331"/>
    <w:rsid w:val="FFE764F4"/>
    <w:rsid w:val="FFE7E60A"/>
    <w:rsid w:val="FFEA6F92"/>
    <w:rsid w:val="FFEC511F"/>
    <w:rsid w:val="FFEDDFB6"/>
    <w:rsid w:val="FFEE35E0"/>
    <w:rsid w:val="FFEEEC44"/>
    <w:rsid w:val="FFEFC5D1"/>
    <w:rsid w:val="FFEFDA71"/>
    <w:rsid w:val="FFEFEEFC"/>
    <w:rsid w:val="FFF166EB"/>
    <w:rsid w:val="FFF1EEDF"/>
    <w:rsid w:val="FFF7180F"/>
    <w:rsid w:val="FFF89CA1"/>
    <w:rsid w:val="FFF8CF59"/>
    <w:rsid w:val="FFFA011D"/>
    <w:rsid w:val="FFFAA94B"/>
    <w:rsid w:val="FFFAC478"/>
    <w:rsid w:val="FFFADC3E"/>
    <w:rsid w:val="FFFB56E3"/>
    <w:rsid w:val="FFFB5B1B"/>
    <w:rsid w:val="FFFBB06B"/>
    <w:rsid w:val="FFFBF2E6"/>
    <w:rsid w:val="FFFC0983"/>
    <w:rsid w:val="FFFC4052"/>
    <w:rsid w:val="FFFC4534"/>
    <w:rsid w:val="FFFC68A4"/>
    <w:rsid w:val="FFFCAA63"/>
    <w:rsid w:val="FFFD2B27"/>
    <w:rsid w:val="FFFD5BD8"/>
    <w:rsid w:val="FFFD6419"/>
    <w:rsid w:val="FFFDCCE5"/>
    <w:rsid w:val="FFFDD26E"/>
    <w:rsid w:val="FFFE72DD"/>
    <w:rsid w:val="FFFEEF4D"/>
    <w:rsid w:val="FFFEFF4B"/>
    <w:rsid w:val="FFFF20F7"/>
    <w:rsid w:val="FFFF2506"/>
    <w:rsid w:val="FFFF2EA9"/>
    <w:rsid w:val="FFFF56D3"/>
    <w:rsid w:val="FFFF7282"/>
    <w:rsid w:val="FFFF9F7A"/>
    <w:rsid w:val="FFFFAA73"/>
    <w:rsid w:val="FFFFB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szCs w:val="22"/>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jc w:val="center"/>
      <w:outlineLvl w:val="2"/>
    </w:pPr>
    <w:rPr>
      <w:b/>
    </w:rPr>
  </w:style>
  <w:style w:type="character" w:default="1" w:styleId="17">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unhideWhenUsed/>
    <w:qFormat/>
    <w:uiPriority w:val="99"/>
    <w:pPr>
      <w:ind w:firstLine="420" w:firstLineChars="200"/>
    </w:pPr>
    <w:rPr>
      <w:szCs w:val="20"/>
    </w:rPr>
  </w:style>
  <w:style w:type="paragraph" w:styleId="6">
    <w:name w:val="annotation text"/>
    <w:basedOn w:val="1"/>
    <w:qFormat/>
    <w:uiPriority w:val="0"/>
    <w:pPr>
      <w:jc w:val="left"/>
    </w:pPr>
  </w:style>
  <w:style w:type="paragraph" w:styleId="7">
    <w:name w:val="Body Text"/>
    <w:basedOn w:val="1"/>
    <w:next w:val="1"/>
    <w:unhideWhenUsed/>
    <w:qFormat/>
    <w:uiPriority w:val="99"/>
    <w:pPr>
      <w:spacing w:before="100" w:beforeAutospacing="1" w:after="120" w:line="360" w:lineRule="auto"/>
    </w:pPr>
    <w:rPr>
      <w:rFonts w:ascii="Times New Roman" w:hAnsi="Times New Roman" w:eastAsia="宋体" w:cs="Times New Roman"/>
      <w:sz w:val="24"/>
      <w:szCs w:val="24"/>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unhideWhenUsed/>
    <w:qFormat/>
    <w:uiPriority w:val="39"/>
    <w:pPr>
      <w:spacing w:after="30" w:afterLines="30"/>
      <w:ind w:firstLine="200"/>
    </w:pPr>
    <w:rPr>
      <w:rFonts w:ascii="宋体" w:hAnsi="宋体"/>
    </w:rPr>
  </w:style>
  <w:style w:type="paragraph" w:styleId="13">
    <w:name w:val="Body Text 2"/>
    <w:basedOn w:val="1"/>
    <w:link w:val="29"/>
    <w:qFormat/>
    <w:uiPriority w:val="0"/>
    <w:pPr>
      <w:spacing w:after="120" w:line="480" w:lineRule="auto"/>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Title"/>
    <w:basedOn w:val="1"/>
    <w:next w:val="1"/>
    <w:qFormat/>
    <w:uiPriority w:val="10"/>
    <w:pPr>
      <w:spacing w:before="240" w:after="60"/>
      <w:jc w:val="center"/>
      <w:outlineLvl w:val="0"/>
    </w:pPr>
    <w:rPr>
      <w:rFonts w:ascii="等线 Light" w:hAnsi="等线 Light" w:eastAsia="等线 Light"/>
      <w:b/>
      <w:bCs/>
      <w:kern w:val="0"/>
      <w:sz w:val="32"/>
      <w:szCs w:val="32"/>
    </w:rPr>
  </w:style>
  <w:style w:type="character" w:styleId="18">
    <w:name w:val="Strong"/>
    <w:basedOn w:val="17"/>
    <w:qFormat/>
    <w:uiPriority w:val="0"/>
    <w:rPr>
      <w:b/>
    </w:rPr>
  </w:style>
  <w:style w:type="character" w:styleId="19">
    <w:name w:val="Emphasis"/>
    <w:basedOn w:val="17"/>
    <w:qFormat/>
    <w:uiPriority w:val="0"/>
    <w:rPr>
      <w:i/>
    </w:rPr>
  </w:style>
  <w:style w:type="character" w:styleId="20">
    <w:name w:val="annotation reference"/>
    <w:basedOn w:val="17"/>
    <w:qFormat/>
    <w:uiPriority w:val="0"/>
    <w:rPr>
      <w:sz w:val="21"/>
      <w:szCs w:val="21"/>
    </w:rPr>
  </w:style>
  <w:style w:type="paragraph" w:customStyle="1" w:styleId="21">
    <w:name w:val="规则编制御用格式-正文"/>
    <w:basedOn w:val="1"/>
    <w:qFormat/>
    <w:uiPriority w:val="0"/>
    <w:pPr>
      <w:numPr>
        <w:ilvl w:val="0"/>
        <w:numId w:val="1"/>
      </w:numPr>
      <w:spacing w:line="360" w:lineRule="auto"/>
      <w:ind w:left="0" w:firstLine="560" w:firstLineChars="200"/>
    </w:pPr>
    <w:rPr>
      <w:rFonts w:ascii="Times New Roman" w:hAnsi="Times New Roman" w:eastAsia="仿宋" w:cs="Times New Roman"/>
      <w:sz w:val="28"/>
      <w:szCs w:val="28"/>
    </w:rPr>
  </w:style>
  <w:style w:type="paragraph" w:customStyle="1" w:styleId="22">
    <w:name w:val="列出段落1"/>
    <w:basedOn w:val="1"/>
    <w:qFormat/>
    <w:uiPriority w:val="0"/>
    <w:pPr>
      <w:ind w:firstLine="420" w:firstLineChars="200"/>
    </w:pPr>
    <w:rPr>
      <w:rFonts w:ascii="Calibri" w:hAnsi="Calibri" w:eastAsia="宋体" w:cs="Times New Roman"/>
      <w:szCs w:val="21"/>
    </w:rPr>
  </w:style>
  <w:style w:type="paragraph" w:customStyle="1" w:styleId="23">
    <w:name w:val="标题3"/>
    <w:basedOn w:val="1"/>
    <w:next w:val="1"/>
    <w:qFormat/>
    <w:uiPriority w:val="0"/>
    <w:pPr>
      <w:numPr>
        <w:ilvl w:val="2"/>
        <w:numId w:val="2"/>
      </w:numPr>
      <w:adjustRightInd w:val="0"/>
      <w:spacing w:line="580" w:lineRule="exact"/>
      <w:outlineLvl w:val="2"/>
    </w:pPr>
    <w:rPr>
      <w:rFonts w:ascii="方正仿宋_GBK" w:eastAsia="方正仿宋_GBK"/>
      <w:bCs/>
      <w:sz w:val="32"/>
      <w:szCs w:val="28"/>
    </w:rPr>
  </w:style>
  <w:style w:type="character" w:customStyle="1" w:styleId="24">
    <w:name w:val="fontstyle01"/>
    <w:basedOn w:val="17"/>
    <w:qFormat/>
    <w:uiPriority w:val="0"/>
    <w:rPr>
      <w:rFonts w:ascii="仿宋_GB2312" w:hAnsi="仿宋_GB2312" w:eastAsia="仿宋_GB2312" w:cs="仿宋_GB2312"/>
      <w:color w:val="000000"/>
      <w:sz w:val="32"/>
      <w:szCs w:val="32"/>
    </w:rPr>
  </w:style>
  <w:style w:type="paragraph" w:customStyle="1" w:styleId="25">
    <w:name w:val="样式18"/>
    <w:qFormat/>
    <w:uiPriority w:val="0"/>
    <w:pPr>
      <w:keepNext w:val="0"/>
      <w:keepLines w:val="0"/>
      <w:widowControl w:val="0"/>
      <w:suppressLineNumbers w:val="0"/>
      <w:snapToGrid w:val="0"/>
      <w:spacing w:line="360" w:lineRule="auto"/>
      <w:ind w:left="0" w:firstLine="680"/>
      <w:jc w:val="left"/>
    </w:pPr>
    <w:rPr>
      <w:rFonts w:hint="default" w:ascii="仿宋_GB2312" w:hAnsi="宋体" w:eastAsia="仿宋_GB2312" w:cs="Times New Roman"/>
      <w:snapToGrid/>
      <w:kern w:val="2"/>
      <w:sz w:val="32"/>
      <w:szCs w:val="32"/>
      <w:lang w:val="en-US" w:eastAsia="zh-CN" w:bidi="ar"/>
    </w:rPr>
  </w:style>
  <w:style w:type="paragraph" w:customStyle="1" w:styleId="26">
    <w:name w:val="第一条"/>
    <w:basedOn w:val="1"/>
    <w:next w:val="5"/>
    <w:qFormat/>
    <w:uiPriority w:val="0"/>
    <w:pPr>
      <w:spacing w:line="360" w:lineRule="auto"/>
      <w:jc w:val="center"/>
    </w:pPr>
    <w:rPr>
      <w:rFonts w:hAnsi="宋体"/>
      <w:sz w:val="24"/>
    </w:rPr>
  </w:style>
  <w:style w:type="paragraph" w:customStyle="1" w:styleId="27">
    <w:name w:val="列出段落12"/>
    <w:basedOn w:val="1"/>
    <w:qFormat/>
    <w:uiPriority w:val="99"/>
    <w:pPr>
      <w:ind w:firstLine="420" w:firstLineChars="200"/>
    </w:pPr>
  </w:style>
  <w:style w:type="paragraph" w:customStyle="1" w:styleId="28">
    <w:name w:val="第几条"/>
    <w:basedOn w:val="1"/>
    <w:qFormat/>
    <w:uiPriority w:val="0"/>
    <w:pPr>
      <w:numPr>
        <w:ilvl w:val="0"/>
        <w:numId w:val="3"/>
      </w:numPr>
      <w:spacing w:line="578" w:lineRule="exact"/>
    </w:pPr>
    <w:rPr>
      <w:rFonts w:ascii="仿宋_GB2312" w:hAnsi="黑体" w:eastAsia="仿宋_GB2312" w:cs="Times New Roman"/>
      <w:b/>
      <w:bCs/>
      <w:kern w:val="44"/>
      <w:sz w:val="20"/>
      <w:szCs w:val="20"/>
    </w:rPr>
  </w:style>
  <w:style w:type="character" w:customStyle="1" w:styleId="29">
    <w:name w:val="正文文本 2 Char"/>
    <w:link w:val="1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4543</Words>
  <Characters>4574</Characters>
  <Lines>1</Lines>
  <Paragraphs>1</Paragraphs>
  <TotalTime>3</TotalTime>
  <ScaleCrop>false</ScaleCrop>
  <LinksUpToDate>false</LinksUpToDate>
  <CharactersWithSpaces>4683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2023-09-07T22:45:00Z</dcterms:created>
  <dc:creator>86135</dc:creator>
  <cp:lastModifiedBy>卡摩</cp:lastModifiedBy>
  <cp:lastPrinted>2025-08-29T06:12:00Z</cp:lastPrinted>
  <dcterms:modified xsi:type="dcterms:W3CDTF">2025-09-03T08:38:21Z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62B6632C5043481F8108A7DAD2E56D21_13</vt:lpwstr>
  </property>
  <property fmtid="{D5CDD505-2E9C-101B-9397-08002B2CF9AE}" pid="4" name="KSOTemplateDocerSaveRecord">
    <vt:lpwstr>eyJoZGlkIjoiNGUxNmZkNjdjZTdhNDg3OWM0NWYwMDhhMzBmZmVjYTEiLCJ1c2VySWQiOiI3Mjk1MDMxODQifQ==</vt:lpwstr>
  </property>
</Properties>
</file>